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4D" w:rsidRDefault="00F77B16">
      <w:pPr>
        <w:snapToGrid w:val="0"/>
        <w:spacing w:line="30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附件1、</w:t>
      </w:r>
    </w:p>
    <w:tbl>
      <w:tblPr>
        <w:tblW w:w="8674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077"/>
        <w:gridCol w:w="765"/>
        <w:gridCol w:w="851"/>
        <w:gridCol w:w="850"/>
        <w:gridCol w:w="1870"/>
      </w:tblGrid>
      <w:tr w:rsidR="0046604D">
        <w:trPr>
          <w:trHeight w:val="645"/>
          <w:jc w:val="center"/>
        </w:trPr>
        <w:tc>
          <w:tcPr>
            <w:tcW w:w="1985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项 目</w:t>
            </w:r>
          </w:p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南通产业技术研究院有限公司</w:t>
            </w:r>
            <w:r w:rsidR="002C57D5"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车棚维修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工程</w:t>
            </w:r>
          </w:p>
        </w:tc>
      </w:tr>
      <w:tr w:rsidR="0046604D">
        <w:trPr>
          <w:trHeight w:val="645"/>
          <w:jc w:val="center"/>
        </w:trPr>
        <w:tc>
          <w:tcPr>
            <w:tcW w:w="1985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vAlign w:val="center"/>
          </w:tcPr>
          <w:p w:rsidR="0046604D" w:rsidRDefault="00F77B16">
            <w:pPr>
              <w:snapToGri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南通产业技术研究院有限公司</w:t>
            </w:r>
          </w:p>
        </w:tc>
        <w:tc>
          <w:tcPr>
            <w:tcW w:w="1701" w:type="dxa"/>
            <w:gridSpan w:val="2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采购</w:t>
            </w:r>
          </w:p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vAlign w:val="center"/>
          </w:tcPr>
          <w:p w:rsidR="0046604D" w:rsidRDefault="002C57D5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7648C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="00F77B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="00F77B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6604D">
        <w:trPr>
          <w:trHeight w:val="645"/>
          <w:jc w:val="center"/>
        </w:trPr>
        <w:tc>
          <w:tcPr>
            <w:tcW w:w="1985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项目是否</w:t>
            </w:r>
          </w:p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属调整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或调增</w:t>
            </w:r>
          </w:p>
        </w:tc>
        <w:tc>
          <w:tcPr>
            <w:tcW w:w="2353" w:type="dxa"/>
            <w:gridSpan w:val="2"/>
            <w:vAlign w:val="center"/>
          </w:tcPr>
          <w:p w:rsidR="0046604D" w:rsidRDefault="0046604D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建议</w:t>
            </w:r>
          </w:p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vAlign w:val="center"/>
          </w:tcPr>
          <w:p w:rsidR="0046604D" w:rsidRDefault="00F77B16">
            <w:pPr>
              <w:snapToGri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询价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6604D">
        <w:trPr>
          <w:trHeight w:val="645"/>
          <w:jc w:val="center"/>
        </w:trPr>
        <w:tc>
          <w:tcPr>
            <w:tcW w:w="1985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项目资金是否</w:t>
            </w:r>
          </w:p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己落实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到位</w:t>
            </w:r>
          </w:p>
        </w:tc>
        <w:tc>
          <w:tcPr>
            <w:tcW w:w="2353" w:type="dxa"/>
            <w:gridSpan w:val="2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lang w:val="zh-CN"/>
              </w:rPr>
              <w:t>是否需要召开</w:t>
            </w:r>
          </w:p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46604D">
        <w:trPr>
          <w:trHeight w:val="645"/>
          <w:jc w:val="center"/>
        </w:trPr>
        <w:tc>
          <w:tcPr>
            <w:tcW w:w="1985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朱经理</w:t>
            </w:r>
          </w:p>
        </w:tc>
        <w:tc>
          <w:tcPr>
            <w:tcW w:w="1077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</w:t>
            </w:r>
          </w:p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vAlign w:val="center"/>
          </w:tcPr>
          <w:p w:rsidR="0046604D" w:rsidRDefault="0046604D">
            <w:pPr>
              <w:snapToGrid w:val="0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手机</w:t>
            </w:r>
          </w:p>
        </w:tc>
        <w:tc>
          <w:tcPr>
            <w:tcW w:w="1870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13962977898</w:t>
            </w:r>
          </w:p>
        </w:tc>
      </w:tr>
      <w:tr w:rsidR="0046604D">
        <w:trPr>
          <w:trHeight w:val="645"/>
          <w:jc w:val="center"/>
        </w:trPr>
        <w:tc>
          <w:tcPr>
            <w:tcW w:w="1985" w:type="dxa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 w:rsidR="0046604D" w:rsidRDefault="0046604D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604D" w:rsidRDefault="00F77B16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870" w:type="dxa"/>
            <w:vAlign w:val="center"/>
          </w:tcPr>
          <w:p w:rsidR="0046604D" w:rsidRDefault="0046604D">
            <w:pPr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46604D" w:rsidRDefault="00F77B16">
      <w:pPr>
        <w:tabs>
          <w:tab w:val="left" w:pos="5325"/>
        </w:tabs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项目具体需求说明如下：</w:t>
      </w:r>
    </w:p>
    <w:p w:rsidR="0046604D" w:rsidRDefault="00F77B16">
      <w:pPr>
        <w:tabs>
          <w:tab w:val="left" w:pos="5325"/>
        </w:tabs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一、背景概述、实现功能要求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1、地理位置：南通产业技术研究院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2、项目规模：</w:t>
      </w:r>
      <w:r w:rsidR="007648C2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刷漆、脚手架搭设、打磨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等，具体详见工程量清单。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3、质量标准：符合国家现行施工验收规范合格标准。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4、报价方式：总价（</w:t>
      </w:r>
      <w:r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固定单价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报价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。以上报价应包含主材费、辅材费、施工费、人工费、机械费、管理费、国家规定的相关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规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费、税金等至竣工交付使用时的一切费用。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leftChars="304" w:left="938" w:hangingChars="100" w:hanging="3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5、评标办法：</w:t>
      </w:r>
      <w:r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最低价中标。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6、现场勘察：投标单位</w:t>
      </w:r>
      <w:r w:rsidR="007648C2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自行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安排时间勘察现场，投标人要对施工现场进行仔细踏勘，确认工作量，考虑施工组织设计涉及的施工技术措施、安全维护、文明工地施工措施等。投标人最终确认的投标报价即为承包合同总价，因承包人对施工现场的勘查疏忽造成的缺漏项目，将不予补偿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leftChars="304" w:left="938" w:hangingChars="100" w:hanging="3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8、施工工期：</w:t>
      </w:r>
      <w:r w:rsidR="007648C2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10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日历天。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firstLineChars="200" w:firstLine="602"/>
        <w:contextualSpacing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二、投标供应商资格要求</w:t>
      </w:r>
    </w:p>
    <w:p w:rsidR="0046604D" w:rsidRDefault="00F77B16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按照政府采购法第二十二条第一款规定，需提供下列材料：</w:t>
      </w:r>
    </w:p>
    <w:p w:rsidR="007648C2" w:rsidRPr="007648C2" w:rsidRDefault="007648C2" w:rsidP="007648C2">
      <w:pPr>
        <w:pStyle w:val="a3"/>
        <w:widowControl/>
        <w:shd w:val="clear" w:color="auto" w:fill="FFFFFF"/>
        <w:spacing w:before="120" w:after="120" w:line="460" w:lineRule="exact"/>
        <w:ind w:firstLine="588"/>
        <w:rPr>
          <w:rFonts w:ascii="仿宋_GB2312" w:eastAsia="仿宋_GB2312" w:hAnsi="宋体"/>
          <w:kern w:val="2"/>
          <w:sz w:val="30"/>
          <w:szCs w:val="30"/>
        </w:rPr>
      </w:pPr>
      <w:r w:rsidRPr="007648C2">
        <w:rPr>
          <w:rFonts w:ascii="仿宋_GB2312" w:eastAsia="仿宋_GB2312" w:hAnsi="宋体" w:hint="eastAsia"/>
          <w:kern w:val="2"/>
          <w:sz w:val="30"/>
          <w:szCs w:val="30"/>
        </w:rPr>
        <w:lastRenderedPageBreak/>
        <w:t>（1）法人或者其他组织的营业执照（副本）原件的复印件；</w:t>
      </w:r>
    </w:p>
    <w:p w:rsidR="007648C2" w:rsidRPr="007648C2" w:rsidRDefault="007648C2" w:rsidP="007648C2">
      <w:pPr>
        <w:pStyle w:val="a3"/>
        <w:widowControl/>
        <w:shd w:val="clear" w:color="auto" w:fill="FFFFFF"/>
        <w:spacing w:before="120" w:after="120" w:line="460" w:lineRule="exact"/>
        <w:ind w:firstLine="588"/>
        <w:rPr>
          <w:rFonts w:ascii="仿宋_GB2312" w:eastAsia="仿宋_GB2312" w:hAnsi="宋体"/>
          <w:kern w:val="2"/>
          <w:sz w:val="30"/>
          <w:szCs w:val="30"/>
        </w:rPr>
      </w:pPr>
      <w:r w:rsidRPr="007648C2">
        <w:rPr>
          <w:rFonts w:ascii="仿宋_GB2312" w:eastAsia="仿宋_GB2312" w:hAnsi="宋体" w:hint="eastAsia"/>
          <w:kern w:val="2"/>
          <w:sz w:val="30"/>
          <w:szCs w:val="30"/>
        </w:rPr>
        <w:t>（2）参与投标人是法人委托人的，受委托人必须为投标单位正式员工，须提供法人委托书。</w:t>
      </w:r>
    </w:p>
    <w:p w:rsidR="007648C2" w:rsidRDefault="007648C2" w:rsidP="007648C2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宋体" w:cs="Times New Roman"/>
          <w:sz w:val="30"/>
          <w:szCs w:val="30"/>
        </w:rPr>
      </w:pPr>
      <w:r w:rsidRPr="007648C2">
        <w:rPr>
          <w:rFonts w:ascii="仿宋_GB2312" w:eastAsia="仿宋_GB2312" w:hAnsi="宋体" w:cs="Times New Roman" w:hint="eastAsia"/>
          <w:sz w:val="30"/>
          <w:szCs w:val="30"/>
        </w:rPr>
        <w:t>（3）参加政府采购活动前3年内在经营活动中没有重大违法记录的书面声明。</w:t>
      </w:r>
    </w:p>
    <w:p w:rsidR="0046604D" w:rsidRDefault="00F77B16" w:rsidP="007648C2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三、</w:t>
      </w: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付款时间和条件</w:t>
      </w:r>
    </w:p>
    <w:p w:rsidR="0046604D" w:rsidRDefault="00F77B16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付款方式：工程竣工验收合格后10日内凭有效发票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</w:rPr>
        <w:t>付合同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</w:rPr>
        <w:t>价的50%(同时退还履约保证金)，待审计结束后10日内凭有效发票付至审定价的97%，余款待保修期满且无遗漏问题后，一次性付清 (无息)。 缺陷责任期为工程竣工验收合格之日起一年整。</w:t>
      </w:r>
    </w:p>
    <w:p w:rsidR="0046604D" w:rsidRDefault="00F77B16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验收的具体方案：</w:t>
      </w:r>
    </w:p>
    <w:p w:rsidR="0046604D" w:rsidRDefault="00F77B16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Chars="200" w:firstLine="600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在接到供应商以书面形式提出验收申请后，在5个工作日内及时组织相关人员进行验收，必要时邀请纪检等部门共同参与，并出具验收报告，作为支付货款的依据。</w:t>
      </w:r>
    </w:p>
    <w:p w:rsidR="0046604D" w:rsidRDefault="00F77B16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询价保证金：现金方式，人民币</w:t>
      </w:r>
      <w:r w:rsidR="007648C2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000元。</w:t>
      </w:r>
    </w:p>
    <w:p w:rsidR="0046604D" w:rsidRDefault="00F77B16">
      <w:pPr>
        <w:spacing w:line="300" w:lineRule="auto"/>
        <w:ind w:firstLineChars="200" w:firstLine="600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六、本工程招标代理费</w:t>
      </w:r>
      <w:r w:rsidR="007648C2">
        <w:rPr>
          <w:rFonts w:ascii="仿宋_GB2312" w:eastAsia="仿宋_GB2312" w:hAnsi="宋体" w:cs="Times New Roman" w:hint="eastAsia"/>
          <w:sz w:val="30"/>
          <w:szCs w:val="30"/>
        </w:rPr>
        <w:t>1000元</w:t>
      </w:r>
      <w:r>
        <w:rPr>
          <w:rFonts w:ascii="仿宋_GB2312" w:eastAsia="仿宋_GB2312" w:hAnsi="宋体" w:cs="Times New Roman" w:hint="eastAsia"/>
          <w:sz w:val="30"/>
          <w:szCs w:val="30"/>
        </w:rPr>
        <w:t>，由中标人在领取中标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0"/>
          <w:szCs w:val="30"/>
        </w:rPr>
        <w:t>通知书时一次性支付给招标代理公司。投标人在投标报价时须考虑此费用的支出。评标过程中评委费按实际计取，投标人在投标报价时须考虑此费用的支出，招标人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</w:rPr>
        <w:t>另行支付此部分费用。</w:t>
      </w:r>
    </w:p>
    <w:p w:rsidR="0046604D" w:rsidRDefault="0046604D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left="640"/>
        <w:contextualSpacing/>
        <w:rPr>
          <w:rFonts w:ascii="仿宋_GB2312" w:eastAsia="仿宋_GB2312" w:hAnsi="宋体" w:cs="Times New Roman"/>
          <w:sz w:val="30"/>
          <w:szCs w:val="30"/>
        </w:rPr>
      </w:pPr>
    </w:p>
    <w:p w:rsidR="0046604D" w:rsidRDefault="0046604D">
      <w:pPr>
        <w:rPr>
          <w:sz w:val="30"/>
          <w:szCs w:val="30"/>
        </w:rPr>
      </w:pPr>
    </w:p>
    <w:sectPr w:rsidR="0046604D" w:rsidSect="0046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3" w:rsidRDefault="00F74E83" w:rsidP="007648C2">
      <w:r>
        <w:separator/>
      </w:r>
    </w:p>
  </w:endnote>
  <w:endnote w:type="continuationSeparator" w:id="0">
    <w:p w:rsidR="00F74E83" w:rsidRDefault="00F74E83" w:rsidP="0076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3" w:rsidRDefault="00F74E83" w:rsidP="007648C2">
      <w:r>
        <w:separator/>
      </w:r>
    </w:p>
  </w:footnote>
  <w:footnote w:type="continuationSeparator" w:id="0">
    <w:p w:rsidR="00F74E83" w:rsidRDefault="00F74E83" w:rsidP="00764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7312"/>
    <w:multiLevelType w:val="singleLevel"/>
    <w:tmpl w:val="2055731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1E5F58"/>
    <w:rsid w:val="002C57D5"/>
    <w:rsid w:val="0046604D"/>
    <w:rsid w:val="007648C2"/>
    <w:rsid w:val="00E80C19"/>
    <w:rsid w:val="00F52A35"/>
    <w:rsid w:val="00F74E83"/>
    <w:rsid w:val="00F77B16"/>
    <w:rsid w:val="015A1680"/>
    <w:rsid w:val="022F02B6"/>
    <w:rsid w:val="041E5F58"/>
    <w:rsid w:val="05793C27"/>
    <w:rsid w:val="166C3106"/>
    <w:rsid w:val="1A2C2C01"/>
    <w:rsid w:val="1FE7142B"/>
    <w:rsid w:val="20F96AB1"/>
    <w:rsid w:val="22CF2C71"/>
    <w:rsid w:val="24443950"/>
    <w:rsid w:val="26537B95"/>
    <w:rsid w:val="2D337EE8"/>
    <w:rsid w:val="2D705F6B"/>
    <w:rsid w:val="323F7351"/>
    <w:rsid w:val="3E591D30"/>
    <w:rsid w:val="412D033B"/>
    <w:rsid w:val="4335222C"/>
    <w:rsid w:val="46944243"/>
    <w:rsid w:val="46FF7EE2"/>
    <w:rsid w:val="47C71182"/>
    <w:rsid w:val="4A1F0724"/>
    <w:rsid w:val="4C1E73AD"/>
    <w:rsid w:val="5063200F"/>
    <w:rsid w:val="50DA1F06"/>
    <w:rsid w:val="5258453E"/>
    <w:rsid w:val="54D03024"/>
    <w:rsid w:val="57E77919"/>
    <w:rsid w:val="5C814EBE"/>
    <w:rsid w:val="6061243E"/>
    <w:rsid w:val="61F82D8B"/>
    <w:rsid w:val="744F29BE"/>
    <w:rsid w:val="74704A59"/>
    <w:rsid w:val="7BB575EE"/>
    <w:rsid w:val="7D34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604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normalcxspmiddle">
    <w:name w:val="msonormalcxspmiddle"/>
    <w:basedOn w:val="a"/>
    <w:qFormat/>
    <w:rsid w:val="004660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6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4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64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48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卡奇</dc:creator>
  <cp:lastModifiedBy>wangyuejun</cp:lastModifiedBy>
  <cp:revision>3</cp:revision>
  <cp:lastPrinted>2018-09-04T06:10:00Z</cp:lastPrinted>
  <dcterms:created xsi:type="dcterms:W3CDTF">2018-05-07T01:06:00Z</dcterms:created>
  <dcterms:modified xsi:type="dcterms:W3CDTF">2019-12-05T03:37:00Z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