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429" w:firstLineChars="550"/>
        <w:rPr>
          <w:rFonts w:eastAsia="楷体_GB2312"/>
          <w:b/>
          <w:sz w:val="44"/>
        </w:rPr>
      </w:pPr>
    </w:p>
    <w:p>
      <w:pPr>
        <w:autoSpaceDE w:val="0"/>
        <w:autoSpaceDN w:val="0"/>
        <w:adjustRightInd w:val="0"/>
        <w:jc w:val="center"/>
        <w:rPr>
          <w:rFonts w:hint="eastAsia" w:eastAsia="楷体_GB2312"/>
          <w:b/>
          <w:color w:val="auto"/>
          <w:sz w:val="52"/>
          <w:szCs w:val="52"/>
          <w:highlight w:val="none"/>
          <w:lang w:eastAsia="zh-CN"/>
        </w:rPr>
      </w:pPr>
      <w:r>
        <w:rPr>
          <w:rFonts w:hint="eastAsia" w:eastAsia="楷体_GB2312"/>
          <w:b/>
          <w:color w:val="auto"/>
          <w:sz w:val="52"/>
          <w:szCs w:val="52"/>
          <w:highlight w:val="none"/>
        </w:rPr>
        <w:t>南通产业技术研究院</w:t>
      </w:r>
      <w:r>
        <w:rPr>
          <w:rFonts w:hint="eastAsia" w:eastAsia="楷体_GB2312"/>
          <w:b/>
          <w:color w:val="auto"/>
          <w:sz w:val="52"/>
          <w:szCs w:val="52"/>
          <w:highlight w:val="none"/>
          <w:lang w:eastAsia="zh-CN"/>
        </w:rPr>
        <w:t>有限公司</w:t>
      </w:r>
    </w:p>
    <w:p>
      <w:pPr>
        <w:autoSpaceDE w:val="0"/>
        <w:autoSpaceDN w:val="0"/>
        <w:adjustRightInd w:val="0"/>
        <w:jc w:val="center"/>
        <w:rPr>
          <w:rFonts w:eastAsia="楷体_GB2312"/>
          <w:b/>
          <w:color w:val="auto"/>
          <w:sz w:val="52"/>
          <w:szCs w:val="52"/>
          <w:highlight w:val="none"/>
        </w:rPr>
      </w:pPr>
      <w:r>
        <w:rPr>
          <w:rFonts w:hint="eastAsia" w:eastAsia="楷体_GB2312"/>
          <w:b/>
          <w:color w:val="auto"/>
          <w:sz w:val="52"/>
          <w:szCs w:val="52"/>
          <w:highlight w:val="none"/>
        </w:rPr>
        <w:t>停车场收费管理系统</w:t>
      </w:r>
    </w:p>
    <w:p>
      <w:pPr>
        <w:autoSpaceDE w:val="0"/>
        <w:autoSpaceDN w:val="0"/>
        <w:adjustRightInd w:val="0"/>
        <w:jc w:val="center"/>
        <w:rPr>
          <w:rFonts w:eastAsia="楷体_GB2312"/>
          <w:b/>
          <w:sz w:val="52"/>
          <w:szCs w:val="52"/>
        </w:rPr>
      </w:pPr>
    </w:p>
    <w:p>
      <w:pPr>
        <w:autoSpaceDE w:val="0"/>
        <w:autoSpaceDN w:val="0"/>
        <w:adjustRightInd w:val="0"/>
        <w:jc w:val="center"/>
        <w:rPr>
          <w:szCs w:val="21"/>
        </w:rPr>
      </w:pPr>
    </w:p>
    <w:p>
      <w:pPr>
        <w:autoSpaceDE w:val="0"/>
        <w:autoSpaceDN w:val="0"/>
        <w:adjustRightInd w:val="0"/>
        <w:spacing w:line="1000" w:lineRule="exact"/>
        <w:jc w:val="center"/>
        <w:rPr>
          <w:rFonts w:ascii="华文新魏" w:hAnsi="Arial Narrow" w:eastAsia="华文新魏"/>
          <w:b/>
          <w:bCs/>
          <w:sz w:val="72"/>
          <w:szCs w:val="72"/>
        </w:rPr>
      </w:pPr>
      <w:r>
        <w:rPr>
          <w:rFonts w:hint="eastAsia" w:ascii="华文新魏" w:eastAsia="华文新魏"/>
          <w:b/>
          <w:bCs/>
          <w:sz w:val="72"/>
          <w:szCs w:val="72"/>
          <w:lang w:val="zh-CN"/>
        </w:rPr>
        <w:t>竞争性</w:t>
      </w:r>
    </w:p>
    <w:p>
      <w:pPr>
        <w:autoSpaceDE w:val="0"/>
        <w:autoSpaceDN w:val="0"/>
        <w:adjustRightInd w:val="0"/>
        <w:spacing w:line="1000" w:lineRule="exact"/>
        <w:jc w:val="center"/>
        <w:rPr>
          <w:rFonts w:ascii="华文新魏" w:hAnsi="Arial Narrow" w:eastAsia="华文新魏"/>
          <w:b/>
          <w:bCs/>
          <w:sz w:val="72"/>
          <w:szCs w:val="72"/>
        </w:rPr>
      </w:pPr>
      <w:r>
        <w:rPr>
          <w:rFonts w:hint="eastAsia" w:ascii="华文新魏" w:hAnsi="Arial Narrow" w:eastAsia="华文新魏"/>
          <w:b/>
          <w:bCs/>
          <w:sz w:val="72"/>
          <w:szCs w:val="72"/>
          <w:lang w:val="zh-CN"/>
        </w:rPr>
        <w:t>磋商文件</w:t>
      </w:r>
    </w:p>
    <w:p>
      <w:pPr>
        <w:autoSpaceDE w:val="0"/>
        <w:autoSpaceDN w:val="0"/>
        <w:adjustRightInd w:val="0"/>
        <w:spacing w:line="360" w:lineRule="auto"/>
        <w:ind w:firstLine="420"/>
        <w:jc w:val="center"/>
        <w:rPr>
          <w:rFonts w:eastAsia="黑体"/>
          <w:szCs w:val="21"/>
        </w:rPr>
      </w:pPr>
      <w:r>
        <w:rPr>
          <w:rFonts w:hint="eastAsia" w:ascii="楷体_GB2312" w:eastAsia="楷体_GB2312"/>
          <w:b/>
          <w:sz w:val="44"/>
          <w:szCs w:val="44"/>
        </w:rPr>
        <w:t>JSZRCG2020022601</w:t>
      </w:r>
    </w:p>
    <w:p>
      <w:pPr>
        <w:autoSpaceDE w:val="0"/>
        <w:autoSpaceDN w:val="0"/>
        <w:adjustRightInd w:val="0"/>
        <w:spacing w:line="360" w:lineRule="auto"/>
        <w:ind w:firstLine="420"/>
        <w:jc w:val="center"/>
        <w:rPr>
          <w:rFonts w:eastAsia="黑体"/>
          <w:szCs w:val="21"/>
        </w:rPr>
      </w:pPr>
    </w:p>
    <w:p>
      <w:pPr>
        <w:autoSpaceDE w:val="0"/>
        <w:autoSpaceDN w:val="0"/>
        <w:adjustRightInd w:val="0"/>
        <w:spacing w:line="360" w:lineRule="auto"/>
        <w:ind w:firstLine="420"/>
        <w:jc w:val="center"/>
        <w:rPr>
          <w:rFonts w:hint="default" w:eastAsia="黑体"/>
          <w:szCs w:val="21"/>
          <w:lang w:val="en-US" w:eastAsia="zh-CN"/>
        </w:rPr>
      </w:pPr>
    </w:p>
    <w:p>
      <w:pPr>
        <w:autoSpaceDE w:val="0"/>
        <w:autoSpaceDN w:val="0"/>
        <w:adjustRightInd w:val="0"/>
        <w:spacing w:line="360" w:lineRule="auto"/>
        <w:ind w:firstLine="420"/>
        <w:jc w:val="center"/>
        <w:rPr>
          <w:rFonts w:eastAsia="黑体"/>
          <w:szCs w:val="21"/>
        </w:rPr>
      </w:pPr>
    </w:p>
    <w:p>
      <w:pPr>
        <w:autoSpaceDE w:val="0"/>
        <w:autoSpaceDN w:val="0"/>
        <w:adjustRightInd w:val="0"/>
        <w:spacing w:line="360" w:lineRule="auto"/>
        <w:ind w:firstLine="420"/>
        <w:jc w:val="center"/>
        <w:rPr>
          <w:rFonts w:eastAsia="黑体"/>
          <w:szCs w:val="21"/>
        </w:rPr>
      </w:pPr>
    </w:p>
    <w:p>
      <w:pPr>
        <w:autoSpaceDE w:val="0"/>
        <w:autoSpaceDN w:val="0"/>
        <w:adjustRightInd w:val="0"/>
        <w:jc w:val="center"/>
        <w:rPr>
          <w:szCs w:val="21"/>
        </w:rPr>
      </w:pPr>
      <w:r>
        <w:rPr>
          <w:rFonts w:hint="eastAsia" w:ascii="宋体"/>
          <w:kern w:val="0"/>
          <w:sz w:val="20"/>
          <w:szCs w:val="20"/>
          <w:lang w:val="zh-CN"/>
        </w:rPr>
        <w:object>
          <v:shape id="_x0000_i1025" o:spt="75" type="#_x0000_t75" style="height:128.25pt;width:166.5pt;" o:ole="t" filled="f" o:preferrelative="t" stroked="f" coordsize="21600,21600">
            <v:path/>
            <v:fill on="f" focussize="0,0"/>
            <v:stroke on="f" joinstyle="miter"/>
            <v:imagedata r:id="rId6" o:title=""/>
            <o:lock v:ext="edit" aspectratio="t"/>
            <w10:wrap type="none"/>
            <w10:anchorlock/>
          </v:shape>
          <o:OLEObject Type="Embed" ProgID="MS_ClipArt_Gallery.5" ShapeID="_x0000_i1025" DrawAspect="Content" ObjectID="_1468075725" r:id="rId5">
            <o:LockedField>false</o:LockedField>
          </o:OLEObject>
        </w:object>
      </w:r>
    </w:p>
    <w:p>
      <w:pPr>
        <w:autoSpaceDE w:val="0"/>
        <w:autoSpaceDN w:val="0"/>
        <w:adjustRightInd w:val="0"/>
        <w:spacing w:line="360" w:lineRule="auto"/>
        <w:rPr>
          <w:sz w:val="44"/>
          <w:szCs w:val="44"/>
        </w:rPr>
      </w:pPr>
    </w:p>
    <w:p>
      <w:pPr>
        <w:autoSpaceDE w:val="0"/>
        <w:autoSpaceDN w:val="0"/>
        <w:adjustRightInd w:val="0"/>
        <w:spacing w:line="360" w:lineRule="auto"/>
        <w:ind w:firstLine="420"/>
        <w:jc w:val="center"/>
        <w:rPr>
          <w:sz w:val="44"/>
          <w:szCs w:val="44"/>
        </w:rPr>
      </w:pPr>
    </w:p>
    <w:p>
      <w:pPr>
        <w:autoSpaceDE w:val="0"/>
        <w:autoSpaceDN w:val="0"/>
        <w:adjustRightInd w:val="0"/>
        <w:spacing w:line="360" w:lineRule="auto"/>
        <w:jc w:val="left"/>
        <w:outlineLvl w:val="0"/>
        <w:rPr>
          <w:rFonts w:ascii="楷体_GB2312" w:eastAsia="楷体_GB2312"/>
          <w:b/>
          <w:spacing w:val="20"/>
          <w:sz w:val="36"/>
          <w:szCs w:val="36"/>
        </w:rPr>
      </w:pPr>
      <w:r>
        <w:rPr>
          <w:rFonts w:hint="eastAsia" w:ascii="楷体_GB2312" w:eastAsia="楷体_GB2312"/>
          <w:b/>
          <w:spacing w:val="20"/>
          <w:sz w:val="36"/>
          <w:szCs w:val="36"/>
        </w:rPr>
        <w:t>采购单位：南通市产业技术研究院有限公司</w:t>
      </w:r>
    </w:p>
    <w:p>
      <w:pPr>
        <w:autoSpaceDE w:val="0"/>
        <w:autoSpaceDN w:val="0"/>
        <w:adjustRightInd w:val="0"/>
        <w:spacing w:line="360" w:lineRule="auto"/>
        <w:jc w:val="left"/>
        <w:outlineLvl w:val="0"/>
        <w:rPr>
          <w:rFonts w:ascii="楷体_GB2312" w:eastAsia="楷体_GB2312"/>
          <w:b/>
          <w:spacing w:val="20"/>
          <w:sz w:val="36"/>
          <w:szCs w:val="36"/>
        </w:rPr>
      </w:pPr>
      <w:r>
        <w:rPr>
          <w:rFonts w:hint="eastAsia" w:ascii="楷体_GB2312" w:eastAsia="楷体_GB2312"/>
          <w:b/>
          <w:spacing w:val="20"/>
          <w:sz w:val="36"/>
          <w:szCs w:val="36"/>
        </w:rPr>
        <w:t>代理机构：江苏中润工程建设咨询有限公司</w:t>
      </w:r>
    </w:p>
    <w:p>
      <w:pPr>
        <w:autoSpaceDE w:val="0"/>
        <w:autoSpaceDN w:val="0"/>
        <w:adjustRightInd w:val="0"/>
        <w:spacing w:line="360" w:lineRule="auto"/>
        <w:outlineLvl w:val="0"/>
        <w:rPr>
          <w:rFonts w:ascii="楷体_GB2312" w:eastAsia="楷体_GB2312"/>
          <w:b/>
          <w:spacing w:val="20"/>
          <w:sz w:val="36"/>
          <w:szCs w:val="36"/>
        </w:rPr>
      </w:pPr>
    </w:p>
    <w:p>
      <w:pPr>
        <w:autoSpaceDE w:val="0"/>
        <w:autoSpaceDN w:val="0"/>
        <w:adjustRightInd w:val="0"/>
        <w:spacing w:line="360" w:lineRule="auto"/>
        <w:jc w:val="center"/>
        <w:outlineLvl w:val="0"/>
        <w:rPr>
          <w:rFonts w:ascii="楷体_GB2312" w:eastAsia="楷体_GB2312"/>
          <w:b/>
          <w:bCs/>
          <w:sz w:val="44"/>
          <w:szCs w:val="44"/>
          <w:lang w:val="zh-CN"/>
        </w:rPr>
        <w:sectPr>
          <w:footerReference r:id="rId3" w:type="default"/>
          <w:pgSz w:w="11907" w:h="16839"/>
          <w:pgMar w:top="1440" w:right="726" w:bottom="873" w:left="1236" w:header="720" w:footer="720" w:gutter="0"/>
          <w:cols w:space="720" w:num="1"/>
          <w:docGrid w:linePitch="286" w:charSpace="0"/>
        </w:sectPr>
      </w:pPr>
    </w:p>
    <w:p>
      <w:pPr>
        <w:autoSpaceDE w:val="0"/>
        <w:autoSpaceDN w:val="0"/>
        <w:adjustRightInd w:val="0"/>
        <w:spacing w:line="360" w:lineRule="auto"/>
        <w:jc w:val="center"/>
        <w:outlineLvl w:val="0"/>
        <w:rPr>
          <w:rFonts w:ascii="楷体_GB2312" w:eastAsia="楷体_GB2312"/>
          <w:b/>
          <w:bCs/>
          <w:sz w:val="44"/>
          <w:szCs w:val="44"/>
          <w:lang w:val="zh-CN"/>
        </w:rPr>
      </w:pPr>
      <w:r>
        <w:rPr>
          <w:rFonts w:hint="eastAsia" w:ascii="楷体_GB2312" w:eastAsia="楷体_GB2312"/>
          <w:b/>
          <w:bCs/>
          <w:sz w:val="44"/>
          <w:szCs w:val="44"/>
          <w:lang w:val="zh-CN"/>
        </w:rPr>
        <w:t>目   录</w:t>
      </w:r>
    </w:p>
    <w:p>
      <w:pPr>
        <w:autoSpaceDE w:val="0"/>
        <w:autoSpaceDN w:val="0"/>
        <w:adjustRightInd w:val="0"/>
        <w:spacing w:line="480" w:lineRule="auto"/>
        <w:ind w:firstLine="556"/>
        <w:rPr>
          <w:rFonts w:ascii="楷体_GB2312" w:eastAsia="楷体_GB2312"/>
          <w:b/>
          <w:bCs/>
          <w:sz w:val="32"/>
          <w:szCs w:val="32"/>
        </w:rPr>
      </w:pPr>
    </w:p>
    <w:p>
      <w:pPr>
        <w:autoSpaceDE w:val="0"/>
        <w:autoSpaceDN w:val="0"/>
        <w:adjustRightInd w:val="0"/>
        <w:spacing w:line="480" w:lineRule="auto"/>
        <w:ind w:firstLine="556"/>
        <w:rPr>
          <w:rFonts w:ascii="楷体_GB2312" w:eastAsia="楷体_GB2312"/>
          <w:b/>
          <w:sz w:val="32"/>
          <w:szCs w:val="32"/>
          <w:lang w:val="zh-CN"/>
        </w:rPr>
      </w:pPr>
      <w:r>
        <w:rPr>
          <w:rFonts w:hint="eastAsia" w:ascii="楷体_GB2312" w:eastAsia="楷体_GB2312"/>
          <w:b/>
          <w:bCs/>
          <w:sz w:val="32"/>
          <w:szCs w:val="32"/>
        </w:rPr>
        <w:t>第一部分  竞争性磋商</w:t>
      </w:r>
      <w:r>
        <w:rPr>
          <w:rFonts w:hint="eastAsia" w:ascii="楷体_GB2312" w:eastAsia="楷体_GB2312"/>
          <w:b/>
          <w:sz w:val="32"/>
          <w:szCs w:val="32"/>
          <w:lang w:val="zh-CN"/>
        </w:rPr>
        <w:t>邀请</w:t>
      </w:r>
    </w:p>
    <w:p>
      <w:pPr>
        <w:autoSpaceDE w:val="0"/>
        <w:autoSpaceDN w:val="0"/>
        <w:adjustRightInd w:val="0"/>
        <w:spacing w:line="480" w:lineRule="auto"/>
        <w:ind w:firstLine="556"/>
        <w:rPr>
          <w:rFonts w:ascii="楷体_GB2312" w:eastAsia="楷体_GB2312"/>
          <w:b/>
          <w:sz w:val="32"/>
          <w:szCs w:val="32"/>
          <w:lang w:val="zh-CN"/>
        </w:rPr>
      </w:pPr>
      <w:r>
        <w:rPr>
          <w:rFonts w:hint="eastAsia" w:ascii="楷体_GB2312" w:eastAsia="楷体_GB2312"/>
          <w:b/>
          <w:bCs/>
          <w:sz w:val="32"/>
          <w:szCs w:val="32"/>
        </w:rPr>
        <w:t>第二部分  磋商</w:t>
      </w:r>
      <w:r>
        <w:rPr>
          <w:rFonts w:hint="eastAsia" w:ascii="楷体_GB2312" w:eastAsia="楷体_GB2312"/>
          <w:b/>
          <w:sz w:val="32"/>
          <w:szCs w:val="32"/>
          <w:lang w:val="zh-CN"/>
        </w:rPr>
        <w:t>须知</w:t>
      </w:r>
    </w:p>
    <w:p>
      <w:pPr>
        <w:autoSpaceDE w:val="0"/>
        <w:autoSpaceDN w:val="0"/>
        <w:adjustRightInd w:val="0"/>
        <w:spacing w:line="480" w:lineRule="auto"/>
        <w:ind w:firstLine="537"/>
        <w:rPr>
          <w:rFonts w:ascii="楷体_GB2312" w:eastAsia="楷体_GB2312"/>
          <w:b/>
          <w:sz w:val="32"/>
          <w:szCs w:val="32"/>
          <w:lang w:val="zh-CN"/>
        </w:rPr>
      </w:pPr>
      <w:r>
        <w:rPr>
          <w:rFonts w:hint="eastAsia" w:ascii="楷体_GB2312" w:eastAsia="楷体_GB2312"/>
          <w:b/>
          <w:bCs/>
          <w:sz w:val="32"/>
          <w:szCs w:val="32"/>
        </w:rPr>
        <w:t xml:space="preserve">第三部分  </w:t>
      </w:r>
      <w:r>
        <w:rPr>
          <w:rFonts w:hint="eastAsia" w:ascii="楷体_GB2312" w:eastAsia="楷体_GB2312"/>
          <w:b/>
          <w:sz w:val="32"/>
          <w:szCs w:val="32"/>
          <w:lang w:val="zh-CN"/>
        </w:rPr>
        <w:t>项目需求</w:t>
      </w:r>
    </w:p>
    <w:p>
      <w:pPr>
        <w:autoSpaceDE w:val="0"/>
        <w:autoSpaceDN w:val="0"/>
        <w:adjustRightInd w:val="0"/>
        <w:spacing w:line="480" w:lineRule="auto"/>
        <w:ind w:firstLine="537"/>
        <w:rPr>
          <w:rFonts w:ascii="楷体_GB2312" w:eastAsia="楷体_GB2312"/>
          <w:b/>
          <w:sz w:val="32"/>
          <w:szCs w:val="32"/>
          <w:lang w:val="zh-CN"/>
        </w:rPr>
      </w:pPr>
      <w:r>
        <w:rPr>
          <w:rFonts w:hint="eastAsia" w:ascii="楷体_GB2312" w:eastAsia="楷体_GB2312"/>
          <w:b/>
          <w:bCs/>
          <w:sz w:val="32"/>
          <w:szCs w:val="32"/>
        </w:rPr>
        <w:t>第四部分  磋商</w:t>
      </w:r>
      <w:r>
        <w:rPr>
          <w:rFonts w:hint="eastAsia" w:ascii="楷体_GB2312" w:eastAsia="楷体_GB2312"/>
          <w:b/>
          <w:sz w:val="32"/>
          <w:szCs w:val="32"/>
          <w:lang w:val="zh-CN"/>
        </w:rPr>
        <w:t>程序和内容</w:t>
      </w:r>
    </w:p>
    <w:p>
      <w:pPr>
        <w:autoSpaceDE w:val="0"/>
        <w:autoSpaceDN w:val="0"/>
        <w:adjustRightInd w:val="0"/>
        <w:spacing w:line="480" w:lineRule="auto"/>
        <w:ind w:firstLine="556"/>
        <w:rPr>
          <w:rFonts w:ascii="楷体_GB2312" w:eastAsia="楷体_GB2312"/>
          <w:b/>
          <w:bCs/>
          <w:sz w:val="32"/>
          <w:szCs w:val="32"/>
        </w:rPr>
      </w:pPr>
      <w:r>
        <w:rPr>
          <w:rFonts w:hint="eastAsia" w:ascii="楷体_GB2312" w:eastAsia="楷体_GB2312"/>
          <w:b/>
          <w:bCs/>
          <w:sz w:val="32"/>
          <w:szCs w:val="32"/>
        </w:rPr>
        <w:t>第五部分  合同签订与验收付款</w:t>
      </w:r>
    </w:p>
    <w:p>
      <w:pPr>
        <w:tabs>
          <w:tab w:val="left" w:pos="7740"/>
        </w:tabs>
        <w:spacing w:line="500" w:lineRule="exact"/>
        <w:ind w:firstLine="643" w:firstLineChars="200"/>
        <w:rPr>
          <w:rFonts w:ascii="楷体_GB2312" w:eastAsia="楷体_GB2312"/>
          <w:b/>
          <w:spacing w:val="2"/>
          <w:sz w:val="32"/>
          <w:szCs w:val="32"/>
        </w:rPr>
      </w:pPr>
      <w:r>
        <w:rPr>
          <w:rFonts w:hint="eastAsia" w:ascii="楷体_GB2312" w:eastAsia="楷体_GB2312"/>
          <w:b/>
          <w:bCs/>
          <w:sz w:val="32"/>
          <w:szCs w:val="32"/>
        </w:rPr>
        <w:t>第六部分  质疑提出和处理</w:t>
      </w:r>
    </w:p>
    <w:p>
      <w:pPr>
        <w:spacing w:line="500" w:lineRule="exact"/>
        <w:rPr>
          <w:rFonts w:ascii="楷体_GB2312" w:eastAsia="楷体_GB2312"/>
          <w:b/>
          <w:sz w:val="32"/>
          <w:szCs w:val="32"/>
        </w:rPr>
      </w:pPr>
    </w:p>
    <w:p>
      <w:pPr>
        <w:tabs>
          <w:tab w:val="left" w:pos="7740"/>
        </w:tabs>
        <w:spacing w:line="500" w:lineRule="exact"/>
        <w:ind w:firstLine="643" w:firstLineChars="200"/>
        <w:rPr>
          <w:rFonts w:ascii="楷体_GB2312" w:eastAsia="楷体_GB2312"/>
          <w:b/>
          <w:spacing w:val="2"/>
          <w:sz w:val="32"/>
          <w:szCs w:val="32"/>
        </w:rPr>
      </w:pPr>
      <w:r>
        <w:rPr>
          <w:rFonts w:hint="eastAsia" w:ascii="楷体_GB2312" w:eastAsia="楷体_GB2312"/>
          <w:b/>
          <w:bCs/>
          <w:sz w:val="32"/>
          <w:szCs w:val="32"/>
        </w:rPr>
        <w:t>第七部分  响应</w:t>
      </w:r>
      <w:r>
        <w:rPr>
          <w:rFonts w:hint="eastAsia" w:ascii="楷体_GB2312" w:eastAsia="楷体_GB2312"/>
          <w:b/>
          <w:sz w:val="32"/>
          <w:szCs w:val="32"/>
          <w:lang w:val="zh-CN"/>
        </w:rPr>
        <w:t>文件</w:t>
      </w:r>
      <w:r>
        <w:rPr>
          <w:rFonts w:hint="eastAsia" w:ascii="楷体_GB2312" w:eastAsia="楷体_GB2312"/>
          <w:b/>
          <w:bCs/>
          <w:sz w:val="32"/>
          <w:szCs w:val="32"/>
        </w:rPr>
        <w:t>组成</w:t>
      </w:r>
    </w:p>
    <w:p>
      <w:pPr>
        <w:tabs>
          <w:tab w:val="left" w:pos="7740"/>
        </w:tabs>
        <w:spacing w:line="500" w:lineRule="exact"/>
        <w:rPr>
          <w:rFonts w:ascii="楷体_GB2312" w:eastAsia="楷体_GB2312"/>
          <w:b/>
          <w:spacing w:val="2"/>
          <w:sz w:val="32"/>
          <w:szCs w:val="32"/>
        </w:rPr>
      </w:pPr>
    </w:p>
    <w:p>
      <w:pPr>
        <w:autoSpaceDE w:val="0"/>
        <w:autoSpaceDN w:val="0"/>
        <w:adjustRightInd w:val="0"/>
        <w:spacing w:line="540" w:lineRule="exact"/>
        <w:jc w:val="center"/>
        <w:rPr>
          <w:rFonts w:ascii="黑体" w:eastAsia="黑体"/>
          <w:b/>
          <w:bCs/>
          <w:sz w:val="36"/>
          <w:szCs w:val="36"/>
          <w:lang w:val="zh-CN"/>
        </w:rPr>
      </w:pPr>
    </w:p>
    <w:p>
      <w:pPr>
        <w:autoSpaceDE w:val="0"/>
        <w:autoSpaceDN w:val="0"/>
        <w:adjustRightInd w:val="0"/>
        <w:spacing w:line="540" w:lineRule="exact"/>
        <w:rPr>
          <w:rFonts w:ascii="黑体" w:eastAsia="黑体"/>
          <w:b/>
          <w:bCs/>
          <w:sz w:val="36"/>
          <w:szCs w:val="36"/>
          <w:lang w:val="zh-CN"/>
        </w:rPr>
      </w:pPr>
    </w:p>
    <w:p>
      <w:pPr>
        <w:autoSpaceDE w:val="0"/>
        <w:autoSpaceDN w:val="0"/>
        <w:adjustRightInd w:val="0"/>
        <w:spacing w:line="540" w:lineRule="exact"/>
        <w:jc w:val="center"/>
        <w:rPr>
          <w:rFonts w:ascii="黑体" w:eastAsia="黑体"/>
          <w:b/>
          <w:bCs/>
          <w:sz w:val="36"/>
          <w:szCs w:val="36"/>
          <w:lang w:val="zh-CN"/>
        </w:rPr>
      </w:pPr>
    </w:p>
    <w:p>
      <w:pPr>
        <w:autoSpaceDE w:val="0"/>
        <w:autoSpaceDN w:val="0"/>
        <w:adjustRightInd w:val="0"/>
        <w:spacing w:line="540" w:lineRule="exact"/>
        <w:jc w:val="center"/>
        <w:rPr>
          <w:rFonts w:ascii="黑体" w:eastAsia="黑体"/>
          <w:b/>
          <w:bCs/>
          <w:sz w:val="36"/>
          <w:szCs w:val="36"/>
          <w:lang w:val="zh-CN"/>
        </w:rPr>
      </w:pPr>
    </w:p>
    <w:p>
      <w:pPr>
        <w:autoSpaceDE w:val="0"/>
        <w:autoSpaceDN w:val="0"/>
        <w:adjustRightInd w:val="0"/>
        <w:spacing w:line="540" w:lineRule="exact"/>
        <w:jc w:val="center"/>
        <w:rPr>
          <w:rFonts w:ascii="黑体" w:eastAsia="黑体"/>
          <w:b/>
          <w:bCs/>
          <w:sz w:val="36"/>
          <w:szCs w:val="36"/>
          <w:lang w:val="zh-CN"/>
        </w:rPr>
      </w:pPr>
    </w:p>
    <w:p>
      <w:pPr>
        <w:autoSpaceDE w:val="0"/>
        <w:autoSpaceDN w:val="0"/>
        <w:adjustRightInd w:val="0"/>
        <w:spacing w:line="540" w:lineRule="exact"/>
        <w:jc w:val="center"/>
        <w:rPr>
          <w:rFonts w:ascii="黑体" w:eastAsia="黑体"/>
          <w:b/>
          <w:bCs/>
          <w:sz w:val="36"/>
          <w:szCs w:val="36"/>
          <w:lang w:val="zh-CN"/>
        </w:rPr>
      </w:pPr>
    </w:p>
    <w:p>
      <w:pPr>
        <w:autoSpaceDE w:val="0"/>
        <w:autoSpaceDN w:val="0"/>
        <w:adjustRightInd w:val="0"/>
        <w:spacing w:line="540" w:lineRule="exact"/>
        <w:jc w:val="center"/>
        <w:rPr>
          <w:rFonts w:ascii="黑体" w:eastAsia="黑体"/>
          <w:b/>
          <w:bCs/>
          <w:sz w:val="36"/>
          <w:szCs w:val="36"/>
          <w:lang w:val="zh-CN"/>
        </w:rPr>
      </w:pPr>
    </w:p>
    <w:p>
      <w:pPr>
        <w:autoSpaceDE w:val="0"/>
        <w:autoSpaceDN w:val="0"/>
        <w:adjustRightInd w:val="0"/>
        <w:spacing w:line="540" w:lineRule="exact"/>
        <w:jc w:val="center"/>
        <w:rPr>
          <w:rFonts w:ascii="黑体" w:eastAsia="黑体"/>
          <w:b/>
          <w:bCs/>
          <w:sz w:val="36"/>
          <w:szCs w:val="36"/>
          <w:lang w:val="zh-CN"/>
        </w:rPr>
      </w:pPr>
    </w:p>
    <w:p>
      <w:pPr>
        <w:autoSpaceDE w:val="0"/>
        <w:autoSpaceDN w:val="0"/>
        <w:adjustRightInd w:val="0"/>
        <w:snapToGrid w:val="0"/>
        <w:spacing w:line="300" w:lineRule="auto"/>
        <w:rPr>
          <w:rFonts w:ascii="黑体" w:eastAsia="黑体"/>
          <w:b/>
          <w:bCs/>
          <w:sz w:val="36"/>
          <w:szCs w:val="36"/>
          <w:lang w:val="zh-CN"/>
        </w:rPr>
      </w:pPr>
    </w:p>
    <w:p>
      <w:pPr>
        <w:autoSpaceDE w:val="0"/>
        <w:autoSpaceDN w:val="0"/>
        <w:adjustRightInd w:val="0"/>
        <w:snapToGrid w:val="0"/>
        <w:spacing w:line="300" w:lineRule="auto"/>
        <w:jc w:val="center"/>
        <w:outlineLvl w:val="0"/>
        <w:rPr>
          <w:rFonts w:ascii="仿宋_GB2312" w:eastAsia="仿宋_GB2312"/>
          <w:b/>
          <w:bCs/>
          <w:sz w:val="36"/>
          <w:szCs w:val="36"/>
          <w:lang w:val="zh-CN"/>
        </w:rPr>
      </w:pPr>
    </w:p>
    <w:p>
      <w:pPr>
        <w:autoSpaceDE w:val="0"/>
        <w:autoSpaceDN w:val="0"/>
        <w:adjustRightInd w:val="0"/>
        <w:snapToGrid w:val="0"/>
        <w:spacing w:line="300" w:lineRule="auto"/>
        <w:jc w:val="center"/>
        <w:outlineLvl w:val="0"/>
        <w:rPr>
          <w:rFonts w:ascii="仿宋_GB2312" w:eastAsia="仿宋_GB2312"/>
          <w:b/>
          <w:bCs/>
          <w:sz w:val="36"/>
          <w:szCs w:val="36"/>
          <w:lang w:val="zh-CN"/>
        </w:rPr>
        <w:sectPr>
          <w:pgSz w:w="11907" w:h="16839"/>
          <w:pgMar w:top="1440" w:right="726" w:bottom="873" w:left="1236" w:header="720" w:footer="720" w:gutter="0"/>
          <w:cols w:space="720" w:num="1"/>
          <w:docGrid w:linePitch="286" w:charSpace="0"/>
        </w:sectPr>
      </w:pPr>
    </w:p>
    <w:p>
      <w:pPr>
        <w:autoSpaceDE w:val="0"/>
        <w:autoSpaceDN w:val="0"/>
        <w:adjustRightInd w:val="0"/>
        <w:snapToGrid w:val="0"/>
        <w:spacing w:line="300" w:lineRule="auto"/>
        <w:jc w:val="center"/>
        <w:outlineLvl w:val="0"/>
        <w:rPr>
          <w:rFonts w:ascii="仿宋_GB2312" w:eastAsia="仿宋_GB2312"/>
          <w:b/>
          <w:bCs/>
          <w:sz w:val="36"/>
          <w:szCs w:val="36"/>
          <w:lang w:val="zh-CN"/>
        </w:rPr>
      </w:pPr>
      <w:r>
        <w:rPr>
          <w:rFonts w:hint="eastAsia" w:ascii="仿宋_GB2312" w:eastAsia="仿宋_GB2312"/>
          <w:b/>
          <w:bCs/>
          <w:sz w:val="36"/>
          <w:szCs w:val="36"/>
          <w:lang w:val="zh-CN"/>
        </w:rPr>
        <w:t>第一部分  竞争性磋商邀请</w:t>
      </w:r>
    </w:p>
    <w:p>
      <w:pPr>
        <w:snapToGrid w:val="0"/>
        <w:spacing w:line="300" w:lineRule="auto"/>
        <w:ind w:firstLine="555"/>
        <w:rPr>
          <w:rFonts w:ascii="仿宋_GB2312" w:hAnsi="宋体" w:eastAsia="仿宋_GB2312"/>
          <w:sz w:val="28"/>
          <w:szCs w:val="28"/>
        </w:rPr>
      </w:pPr>
      <w:r>
        <w:rPr>
          <w:rFonts w:hint="eastAsia" w:ascii="仿宋_GB2312" w:hAnsi="宋体" w:eastAsia="仿宋_GB2312"/>
          <w:sz w:val="28"/>
          <w:szCs w:val="28"/>
        </w:rPr>
        <w:t>江苏中润工程建设咨询有限公司（以下简称“采购代理机构”）受南通市产业技术研究院有限公司委托，对其所需的南通市产业技术研究院有限公司</w:t>
      </w:r>
      <w:r>
        <w:rPr>
          <w:rFonts w:hint="eastAsia" w:ascii="仿宋_GB2312" w:hAnsi="宋体" w:eastAsia="仿宋_GB2312"/>
          <w:sz w:val="28"/>
          <w:szCs w:val="28"/>
          <w:lang w:eastAsia="zh-CN"/>
        </w:rPr>
        <w:t>停车场收费管理系统</w:t>
      </w:r>
      <w:r>
        <w:rPr>
          <w:rFonts w:hint="eastAsia" w:ascii="仿宋_GB2312" w:hAnsi="宋体" w:eastAsia="仿宋_GB2312"/>
          <w:sz w:val="28"/>
          <w:szCs w:val="28"/>
        </w:rPr>
        <w:t>实施</w:t>
      </w:r>
      <w:r>
        <w:rPr>
          <w:rFonts w:hint="eastAsia" w:ascii="仿宋_GB2312" w:eastAsia="仿宋_GB2312"/>
          <w:sz w:val="28"/>
          <w:szCs w:val="28"/>
          <w:lang w:val="zh-CN"/>
        </w:rPr>
        <w:t>竞争性磋商</w:t>
      </w:r>
      <w:r>
        <w:rPr>
          <w:rFonts w:hint="eastAsia" w:ascii="仿宋_GB2312" w:hAnsi="宋体" w:eastAsia="仿宋_GB2312"/>
          <w:sz w:val="28"/>
          <w:szCs w:val="28"/>
        </w:rPr>
        <w:t>方式组织采购。现公告如下：</w:t>
      </w:r>
    </w:p>
    <w:p>
      <w:pPr>
        <w:snapToGrid w:val="0"/>
        <w:spacing w:line="300" w:lineRule="auto"/>
        <w:ind w:firstLine="555"/>
        <w:contextualSpacing/>
        <w:rPr>
          <w:rFonts w:ascii="仿宋_GB2312" w:hAnsi="宋体" w:eastAsia="仿宋_GB2312"/>
          <w:sz w:val="28"/>
          <w:szCs w:val="28"/>
        </w:rPr>
      </w:pPr>
      <w:r>
        <w:rPr>
          <w:rFonts w:hint="eastAsia" w:ascii="仿宋_GB2312" w:hAnsi="宋体" w:eastAsia="仿宋_GB2312"/>
          <w:b/>
          <w:sz w:val="28"/>
          <w:szCs w:val="28"/>
        </w:rPr>
        <w:t>一、项目名称及编号</w:t>
      </w:r>
      <w:r>
        <w:rPr>
          <w:rFonts w:hint="eastAsia" w:ascii="仿宋_GB2312" w:hAnsi="宋体" w:eastAsia="仿宋_GB2312"/>
          <w:sz w:val="28"/>
          <w:szCs w:val="28"/>
        </w:rPr>
        <w:t>：</w:t>
      </w:r>
    </w:p>
    <w:p>
      <w:pPr>
        <w:snapToGrid w:val="0"/>
        <w:spacing w:line="300" w:lineRule="auto"/>
        <w:ind w:firstLine="555"/>
        <w:contextualSpacing/>
        <w:rPr>
          <w:rFonts w:hint="eastAsia" w:ascii="仿宋_GB2312" w:hAnsi="宋体" w:eastAsia="仿宋_GB2312"/>
          <w:sz w:val="28"/>
          <w:szCs w:val="28"/>
          <w:lang w:eastAsia="zh-CN"/>
        </w:rPr>
      </w:pPr>
      <w:r>
        <w:rPr>
          <w:rFonts w:hint="eastAsia" w:ascii="仿宋_GB2312" w:hAnsi="宋体" w:eastAsia="仿宋_GB2312"/>
          <w:sz w:val="28"/>
          <w:szCs w:val="28"/>
        </w:rPr>
        <w:t>项目名称：南通市产业技术研究院</w:t>
      </w:r>
      <w:r>
        <w:rPr>
          <w:rFonts w:hint="eastAsia" w:ascii="仿宋_GB2312" w:hAnsi="宋体" w:eastAsia="仿宋_GB2312"/>
          <w:sz w:val="28"/>
          <w:szCs w:val="28"/>
          <w:lang w:eastAsia="zh-CN"/>
        </w:rPr>
        <w:t>有限公司停车场收费管理系统</w:t>
      </w:r>
    </w:p>
    <w:p>
      <w:pPr>
        <w:snapToGrid w:val="0"/>
        <w:spacing w:line="300" w:lineRule="auto"/>
        <w:ind w:firstLine="548" w:firstLineChars="196"/>
        <w:contextualSpacing/>
        <w:rPr>
          <w:rFonts w:ascii="仿宋_GB2312" w:eastAsia="仿宋_GB2312"/>
          <w:sz w:val="28"/>
          <w:szCs w:val="28"/>
        </w:rPr>
      </w:pPr>
      <w:r>
        <w:rPr>
          <w:rFonts w:hint="eastAsia" w:ascii="仿宋_GB2312" w:hAnsi="宋体" w:eastAsia="仿宋_GB2312"/>
          <w:sz w:val="28"/>
          <w:szCs w:val="28"/>
        </w:rPr>
        <w:t>采购文件编号：JSZRCG2020022601</w:t>
      </w:r>
    </w:p>
    <w:p>
      <w:pPr>
        <w:snapToGrid w:val="0"/>
        <w:spacing w:line="300" w:lineRule="auto"/>
        <w:ind w:firstLine="562" w:firstLineChars="200"/>
        <w:contextualSpacing/>
        <w:rPr>
          <w:rFonts w:ascii="仿宋_GB2312" w:hAnsi="宋体" w:eastAsia="仿宋_GB2312"/>
          <w:b/>
          <w:sz w:val="28"/>
          <w:szCs w:val="28"/>
        </w:rPr>
      </w:pPr>
      <w:r>
        <w:rPr>
          <w:rFonts w:hint="eastAsia" w:ascii="仿宋_GB2312" w:hAnsi="宋体" w:eastAsia="仿宋_GB2312"/>
          <w:b/>
          <w:sz w:val="28"/>
          <w:szCs w:val="28"/>
        </w:rPr>
        <w:t>二、采购预算：</w:t>
      </w:r>
    </w:p>
    <w:p>
      <w:pPr>
        <w:snapToGrid w:val="0"/>
        <w:spacing w:line="300" w:lineRule="auto"/>
        <w:ind w:firstLine="560" w:firstLineChars="200"/>
        <w:contextualSpacing/>
        <w:rPr>
          <w:rFonts w:ascii="仿宋_GB2312" w:hAnsi="宋体" w:eastAsia="仿宋_GB2312"/>
          <w:sz w:val="28"/>
          <w:szCs w:val="28"/>
        </w:rPr>
      </w:pPr>
      <w:r>
        <w:rPr>
          <w:rFonts w:hint="eastAsia" w:ascii="仿宋_GB2312" w:hAnsi="宋体" w:eastAsia="仿宋_GB2312"/>
          <w:sz w:val="28"/>
          <w:szCs w:val="28"/>
        </w:rPr>
        <w:t>本项目采购预算为12万元。最终</w:t>
      </w:r>
      <w:r>
        <w:rPr>
          <w:rFonts w:ascii="仿宋_GB2312" w:hAnsi="宋体" w:eastAsia="仿宋_GB2312"/>
          <w:sz w:val="28"/>
          <w:szCs w:val="28"/>
        </w:rPr>
        <w:t>报价超过采购预算的为无效</w:t>
      </w:r>
      <w:r>
        <w:rPr>
          <w:rFonts w:hint="eastAsia" w:ascii="仿宋_GB2312" w:hAnsi="宋体" w:eastAsia="仿宋_GB2312"/>
          <w:sz w:val="28"/>
          <w:szCs w:val="28"/>
          <w:lang w:eastAsia="zh-CN"/>
        </w:rPr>
        <w:t>报价</w:t>
      </w:r>
      <w:r>
        <w:rPr>
          <w:rFonts w:ascii="仿宋_GB2312" w:hAnsi="宋体" w:eastAsia="仿宋_GB2312"/>
          <w:sz w:val="28"/>
          <w:szCs w:val="28"/>
        </w:rPr>
        <w:t>。</w:t>
      </w:r>
    </w:p>
    <w:p>
      <w:pPr>
        <w:numPr>
          <w:ilvl w:val="0"/>
          <w:numId w:val="1"/>
        </w:numPr>
        <w:snapToGrid w:val="0"/>
        <w:spacing w:line="300" w:lineRule="auto"/>
        <w:ind w:firstLine="562" w:firstLineChars="200"/>
        <w:contextualSpacing/>
        <w:rPr>
          <w:rFonts w:ascii="仿宋_GB2312" w:hAnsi="宋体" w:eastAsia="仿宋_GB2312"/>
          <w:b/>
          <w:sz w:val="28"/>
          <w:szCs w:val="28"/>
        </w:rPr>
      </w:pPr>
      <w:r>
        <w:rPr>
          <w:rFonts w:hint="eastAsia" w:ascii="仿宋_GB2312" w:hAnsi="宋体" w:eastAsia="仿宋_GB2312"/>
          <w:b/>
          <w:sz w:val="28"/>
          <w:szCs w:val="28"/>
        </w:rPr>
        <w:t>项目需求说明：</w:t>
      </w:r>
    </w:p>
    <w:p>
      <w:pPr>
        <w:snapToGrid w:val="0"/>
        <w:spacing w:line="300" w:lineRule="auto"/>
        <w:ind w:firstLine="560" w:firstLineChars="200"/>
        <w:contextualSpacing/>
        <w:rPr>
          <w:rFonts w:ascii="仿宋_GB2312" w:hAnsi="宋体" w:eastAsia="仿宋_GB2312"/>
          <w:sz w:val="28"/>
          <w:szCs w:val="28"/>
        </w:rPr>
      </w:pPr>
      <w:r>
        <w:rPr>
          <w:rFonts w:hint="eastAsia" w:ascii="仿宋_GB2312" w:hAnsi="宋体" w:eastAsia="仿宋_GB2312"/>
          <w:sz w:val="28"/>
          <w:szCs w:val="28"/>
        </w:rPr>
        <w:t>项目需求说明详</w:t>
      </w:r>
      <w:r>
        <w:rPr>
          <w:rFonts w:hint="eastAsia" w:ascii="仿宋_GB2312" w:eastAsia="仿宋_GB2312"/>
          <w:sz w:val="28"/>
          <w:szCs w:val="28"/>
          <w:lang w:val="zh-CN"/>
        </w:rPr>
        <w:t>见第三章《项目需求》，</w:t>
      </w:r>
      <w:r>
        <w:rPr>
          <w:rFonts w:hint="eastAsia" w:ascii="仿宋_GB2312" w:eastAsia="仿宋_GB2312" w:cs="宋体"/>
          <w:kern w:val="0"/>
          <w:sz w:val="28"/>
          <w:szCs w:val="28"/>
          <w:lang w:val="zh-CN"/>
        </w:rPr>
        <w:t>请仔细研究。</w:t>
      </w:r>
    </w:p>
    <w:p>
      <w:pPr>
        <w:snapToGrid w:val="0"/>
        <w:spacing w:line="300" w:lineRule="auto"/>
        <w:ind w:firstLine="562" w:firstLineChars="200"/>
        <w:contextualSpacing/>
        <w:rPr>
          <w:rFonts w:ascii="仿宋_GB2312" w:hAnsi="宋体" w:eastAsia="仿宋_GB2312"/>
          <w:sz w:val="28"/>
          <w:szCs w:val="28"/>
        </w:rPr>
      </w:pPr>
      <w:r>
        <w:rPr>
          <w:rFonts w:hint="eastAsia" w:ascii="仿宋_GB2312" w:hAnsi="宋体" w:eastAsia="仿宋_GB2312"/>
          <w:b/>
          <w:sz w:val="28"/>
          <w:szCs w:val="28"/>
        </w:rPr>
        <w:t>四、供应商资格要求</w:t>
      </w:r>
    </w:p>
    <w:p>
      <w:pPr>
        <w:snapToGrid w:val="0"/>
        <w:spacing w:line="300" w:lineRule="auto"/>
        <w:ind w:firstLine="560" w:firstLineChars="200"/>
        <w:contextualSpacing/>
        <w:rPr>
          <w:rFonts w:ascii="仿宋_GB2312" w:eastAsia="仿宋_GB2312"/>
          <w:sz w:val="28"/>
          <w:szCs w:val="28"/>
        </w:rPr>
      </w:pPr>
      <w:r>
        <w:rPr>
          <w:rFonts w:hint="eastAsia" w:ascii="仿宋_GB2312" w:eastAsia="仿宋_GB2312"/>
          <w:sz w:val="28"/>
          <w:szCs w:val="28"/>
        </w:rPr>
        <w:t>（一）符合政府采购法第二十二条第一款规定的条件，并提供下列材料：</w:t>
      </w:r>
    </w:p>
    <w:p>
      <w:pPr>
        <w:snapToGrid w:val="0"/>
        <w:spacing w:line="300" w:lineRule="auto"/>
        <w:ind w:firstLine="560" w:firstLineChars="200"/>
        <w:contextualSpacing/>
        <w:rPr>
          <w:rFonts w:ascii="仿宋_GB2312" w:eastAsia="仿宋_GB2312"/>
          <w:sz w:val="28"/>
          <w:szCs w:val="28"/>
        </w:rPr>
      </w:pPr>
      <w:r>
        <w:rPr>
          <w:rFonts w:hint="eastAsia" w:ascii="仿宋_GB2312" w:eastAsia="仿宋_GB2312"/>
          <w:sz w:val="28"/>
          <w:szCs w:val="28"/>
        </w:rPr>
        <w:t>1、</w:t>
      </w:r>
      <w:r>
        <w:rPr>
          <w:rFonts w:ascii="仿宋_GB2312" w:eastAsia="仿宋_GB2312"/>
          <w:sz w:val="28"/>
          <w:szCs w:val="28"/>
        </w:rPr>
        <w:t>法人或者其他组织的营业执照等证明文件，自然人的身份证明；</w:t>
      </w:r>
    </w:p>
    <w:p>
      <w:pPr>
        <w:snapToGrid w:val="0"/>
        <w:spacing w:line="300" w:lineRule="auto"/>
        <w:ind w:firstLine="560" w:firstLineChars="200"/>
        <w:contextualSpacing/>
        <w:rPr>
          <w:rFonts w:ascii="仿宋_GB2312" w:eastAsia="仿宋_GB2312"/>
          <w:sz w:val="28"/>
          <w:szCs w:val="28"/>
        </w:rPr>
      </w:pPr>
      <w:r>
        <w:rPr>
          <w:rFonts w:ascii="仿宋_GB2312" w:eastAsia="仿宋_GB2312"/>
          <w:sz w:val="28"/>
          <w:szCs w:val="28"/>
        </w:rPr>
        <w:t>2、上一年度的财务状况报告（成立不满一年不需提供）；</w:t>
      </w:r>
    </w:p>
    <w:p>
      <w:pPr>
        <w:snapToGrid w:val="0"/>
        <w:spacing w:line="300" w:lineRule="auto"/>
        <w:ind w:firstLine="560" w:firstLineChars="200"/>
        <w:contextualSpacing/>
        <w:rPr>
          <w:rFonts w:ascii="仿宋_GB2312" w:eastAsia="仿宋_GB2312"/>
          <w:sz w:val="28"/>
          <w:szCs w:val="28"/>
        </w:rPr>
      </w:pPr>
      <w:r>
        <w:rPr>
          <w:rFonts w:hint="eastAsia" w:ascii="仿宋_GB2312" w:eastAsia="仿宋_GB2312"/>
          <w:sz w:val="28"/>
          <w:szCs w:val="28"/>
        </w:rPr>
        <w:t>3</w:t>
      </w:r>
      <w:r>
        <w:rPr>
          <w:rFonts w:ascii="仿宋_GB2312" w:eastAsia="仿宋_GB2312"/>
          <w:sz w:val="28"/>
          <w:szCs w:val="28"/>
        </w:rPr>
        <w:t>、依法缴纳税收和社会保障资金的相关材料；</w:t>
      </w:r>
    </w:p>
    <w:p>
      <w:pPr>
        <w:snapToGrid w:val="0"/>
        <w:spacing w:line="300" w:lineRule="auto"/>
        <w:ind w:firstLine="560" w:firstLineChars="200"/>
        <w:contextualSpacing/>
        <w:rPr>
          <w:rFonts w:ascii="仿宋_GB2312" w:eastAsia="仿宋_GB2312"/>
          <w:sz w:val="28"/>
          <w:szCs w:val="28"/>
        </w:rPr>
      </w:pPr>
      <w:r>
        <w:rPr>
          <w:rFonts w:ascii="仿宋_GB2312" w:eastAsia="仿宋_GB2312"/>
          <w:sz w:val="28"/>
          <w:szCs w:val="28"/>
        </w:rPr>
        <w:t>4、具备履行合同所必需的设备和专业技术能力的证明材料；</w:t>
      </w:r>
    </w:p>
    <w:p>
      <w:pPr>
        <w:snapToGrid w:val="0"/>
        <w:spacing w:line="300" w:lineRule="auto"/>
        <w:ind w:firstLine="560" w:firstLineChars="200"/>
        <w:contextualSpacing/>
        <w:rPr>
          <w:rFonts w:ascii="仿宋_GB2312" w:eastAsia="仿宋_GB2312"/>
          <w:sz w:val="28"/>
          <w:szCs w:val="28"/>
        </w:rPr>
      </w:pPr>
      <w:r>
        <w:rPr>
          <w:rFonts w:ascii="仿宋_GB2312" w:eastAsia="仿宋_GB2312"/>
          <w:sz w:val="28"/>
          <w:szCs w:val="28"/>
        </w:rPr>
        <w:t>5、参加政府采购活动前3年内在经营活动中没有重大违法记录的书面声明；</w:t>
      </w:r>
    </w:p>
    <w:p>
      <w:pPr>
        <w:snapToGrid w:val="0"/>
        <w:spacing w:line="300" w:lineRule="auto"/>
        <w:ind w:firstLine="560" w:firstLineChars="200"/>
        <w:contextualSpacing/>
        <w:rPr>
          <w:rFonts w:ascii="仿宋_GB2312" w:eastAsia="仿宋_GB2312"/>
          <w:sz w:val="28"/>
          <w:szCs w:val="28"/>
        </w:rPr>
      </w:pPr>
      <w:r>
        <w:rPr>
          <w:rFonts w:hint="eastAsia" w:ascii="仿宋_GB2312" w:eastAsia="仿宋_GB2312"/>
          <w:sz w:val="28"/>
          <w:szCs w:val="28"/>
        </w:rPr>
        <w:t>（二）采购人其他要求:</w:t>
      </w:r>
    </w:p>
    <w:p>
      <w:pPr>
        <w:snapToGrid w:val="0"/>
        <w:spacing w:line="300" w:lineRule="auto"/>
        <w:ind w:firstLine="560" w:firstLineChars="200"/>
        <w:contextualSpacing/>
        <w:rPr>
          <w:rFonts w:ascii="仿宋_GB2312" w:eastAsia="仿宋_GB2312"/>
          <w:sz w:val="28"/>
          <w:szCs w:val="28"/>
        </w:rPr>
      </w:pPr>
      <w:r>
        <w:rPr>
          <w:rFonts w:hint="eastAsia" w:ascii="仿宋_GB2312" w:eastAsia="仿宋_GB2312"/>
          <w:sz w:val="28"/>
          <w:szCs w:val="28"/>
          <w:lang w:val="en-US" w:eastAsia="zh-CN"/>
        </w:rPr>
        <w:t>1</w:t>
      </w:r>
      <w:r>
        <w:rPr>
          <w:rFonts w:hint="eastAsia" w:ascii="仿宋_GB2312" w:eastAsia="仿宋_GB2312"/>
          <w:sz w:val="28"/>
          <w:szCs w:val="28"/>
        </w:rPr>
        <w:t>、未处于被责令停业、投标资格被取消或者财产被接管、冻结和破产状态；</w:t>
      </w:r>
    </w:p>
    <w:p>
      <w:pPr>
        <w:snapToGrid w:val="0"/>
        <w:spacing w:line="300" w:lineRule="auto"/>
        <w:ind w:firstLine="560" w:firstLineChars="200"/>
        <w:contextualSpacing/>
        <w:rPr>
          <w:rFonts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、没有因骗取中标或者严重违约以及因施工原因发生重大工程质量事故等问题，</w:t>
      </w:r>
      <w:r>
        <w:rPr>
          <w:rFonts w:hint="eastAsia" w:ascii="仿宋_GB2312" w:eastAsia="仿宋_GB2312"/>
          <w:sz w:val="28"/>
          <w:szCs w:val="28"/>
          <w:lang w:eastAsia="zh-CN"/>
        </w:rPr>
        <w:t>未</w:t>
      </w:r>
      <w:r>
        <w:rPr>
          <w:rFonts w:hint="eastAsia" w:ascii="仿宋_GB2312" w:eastAsia="仿宋_GB2312"/>
          <w:sz w:val="28"/>
          <w:szCs w:val="28"/>
        </w:rPr>
        <w:t>被有关部门暂停投标资格并在暂停期内；</w:t>
      </w:r>
    </w:p>
    <w:p>
      <w:pPr>
        <w:snapToGrid w:val="0"/>
        <w:spacing w:line="300" w:lineRule="auto"/>
        <w:ind w:firstLine="560" w:firstLineChars="200"/>
        <w:contextualSpacing/>
        <w:rPr>
          <w:rFonts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w:t>
      </w:r>
      <w:r>
        <w:rPr>
          <w:rFonts w:hint="eastAsia" w:ascii="仿宋_GB2312" w:eastAsia="仿宋_GB2312"/>
          <w:sz w:val="28"/>
          <w:szCs w:val="28"/>
          <w:lang w:eastAsia="zh-CN"/>
        </w:rPr>
        <w:t>磋商响应文件</w:t>
      </w:r>
      <w:r>
        <w:rPr>
          <w:rFonts w:hint="eastAsia" w:ascii="仿宋_GB2312" w:eastAsia="仿宋_GB2312"/>
          <w:sz w:val="28"/>
          <w:szCs w:val="28"/>
        </w:rPr>
        <w:t>中没有失实或者弄虚作假；</w:t>
      </w:r>
    </w:p>
    <w:p>
      <w:pPr>
        <w:snapToGrid w:val="0"/>
        <w:spacing w:line="300" w:lineRule="auto"/>
        <w:ind w:firstLine="560" w:firstLineChars="200"/>
        <w:contextualSpacing/>
        <w:rPr>
          <w:rFonts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、符合法律、法规规定的其他条件；</w:t>
      </w:r>
    </w:p>
    <w:p>
      <w:pPr>
        <w:snapToGrid w:val="0"/>
        <w:spacing w:line="300" w:lineRule="auto"/>
        <w:ind w:firstLine="560" w:firstLineChars="200"/>
        <w:contextualSpacing/>
        <w:rPr>
          <w:rFonts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、本项目不接受联合体参与；不允许分包和转包。</w:t>
      </w:r>
    </w:p>
    <w:p>
      <w:pPr>
        <w:snapToGrid w:val="0"/>
        <w:spacing w:line="300" w:lineRule="auto"/>
        <w:ind w:firstLine="562" w:firstLineChars="200"/>
        <w:contextualSpacing/>
        <w:rPr>
          <w:rFonts w:ascii="仿宋_GB2312" w:eastAsia="仿宋_GB2312"/>
          <w:b/>
          <w:sz w:val="28"/>
          <w:szCs w:val="28"/>
        </w:rPr>
      </w:pPr>
      <w:r>
        <w:rPr>
          <w:rFonts w:hint="eastAsia" w:ascii="仿宋_GB2312" w:eastAsia="仿宋_GB2312"/>
          <w:b/>
          <w:sz w:val="28"/>
          <w:szCs w:val="28"/>
        </w:rPr>
        <w:t>特别要求：新增设备需与原有系统对接，</w:t>
      </w:r>
      <w:r>
        <w:rPr>
          <w:rFonts w:hint="eastAsia" w:ascii="仿宋_GB2312" w:eastAsia="仿宋_GB2312"/>
          <w:b/>
          <w:sz w:val="28"/>
          <w:szCs w:val="28"/>
          <w:lang w:eastAsia="zh-CN"/>
        </w:rPr>
        <w:t>具体</w:t>
      </w:r>
      <w:r>
        <w:rPr>
          <w:rFonts w:hint="eastAsia" w:ascii="仿宋_GB2312" w:eastAsia="仿宋_GB2312"/>
          <w:b/>
          <w:sz w:val="28"/>
          <w:szCs w:val="28"/>
        </w:rPr>
        <w:t>对接</w:t>
      </w:r>
      <w:r>
        <w:rPr>
          <w:rFonts w:hint="eastAsia" w:ascii="仿宋_GB2312" w:eastAsia="仿宋_GB2312"/>
          <w:b/>
          <w:sz w:val="28"/>
          <w:szCs w:val="28"/>
          <w:lang w:eastAsia="zh-CN"/>
        </w:rPr>
        <w:t>方案</w:t>
      </w:r>
      <w:r>
        <w:rPr>
          <w:rFonts w:hint="eastAsia" w:ascii="仿宋_GB2312" w:eastAsia="仿宋_GB2312"/>
          <w:b/>
          <w:sz w:val="28"/>
          <w:szCs w:val="28"/>
        </w:rPr>
        <w:t>由</w:t>
      </w:r>
      <w:r>
        <w:rPr>
          <w:rFonts w:hint="eastAsia" w:ascii="仿宋_GB2312" w:eastAsia="仿宋_GB2312"/>
          <w:b/>
          <w:sz w:val="28"/>
          <w:szCs w:val="28"/>
          <w:lang w:eastAsia="zh-CN"/>
        </w:rPr>
        <w:t>成交供应商实施并承担相应费用；成交供应商负责办理停车场收费申报事项（费用由成交供应商承担）并办理</w:t>
      </w:r>
      <w:r>
        <w:rPr>
          <w:rFonts w:hint="eastAsia" w:ascii="仿宋_GB2312" w:eastAsia="仿宋_GB2312"/>
          <w:b/>
          <w:sz w:val="28"/>
          <w:szCs w:val="28"/>
        </w:rPr>
        <w:t>停车场收费备案</w:t>
      </w:r>
      <w:r>
        <w:rPr>
          <w:rFonts w:hint="eastAsia" w:ascii="仿宋_GB2312" w:eastAsia="仿宋_GB2312"/>
          <w:b/>
          <w:sz w:val="28"/>
          <w:szCs w:val="28"/>
          <w:lang w:eastAsia="zh-CN"/>
        </w:rPr>
        <w:t>，达到</w:t>
      </w:r>
      <w:r>
        <w:rPr>
          <w:rFonts w:hint="eastAsia" w:ascii="仿宋_GB2312" w:eastAsia="仿宋_GB2312"/>
          <w:b/>
          <w:sz w:val="28"/>
          <w:szCs w:val="28"/>
        </w:rPr>
        <w:t>使用要求。</w:t>
      </w:r>
    </w:p>
    <w:p>
      <w:pPr>
        <w:snapToGrid w:val="0"/>
        <w:spacing w:line="300" w:lineRule="auto"/>
        <w:ind w:firstLine="555"/>
        <w:contextualSpacing/>
        <w:rPr>
          <w:rFonts w:ascii="仿宋_GB2312" w:hAnsi="宋体" w:eastAsia="仿宋_GB2312"/>
          <w:b/>
          <w:sz w:val="28"/>
          <w:szCs w:val="28"/>
        </w:rPr>
      </w:pPr>
      <w:r>
        <w:rPr>
          <w:rFonts w:hint="eastAsia" w:ascii="仿宋_GB2312" w:hAnsi="宋体" w:eastAsia="仿宋_GB2312"/>
          <w:b/>
          <w:sz w:val="28"/>
          <w:szCs w:val="28"/>
        </w:rPr>
        <w:t>五、磋商公告媒体</w:t>
      </w:r>
    </w:p>
    <w:p>
      <w:pPr>
        <w:snapToGrid w:val="0"/>
        <w:spacing w:line="300" w:lineRule="auto"/>
        <w:ind w:firstLine="555"/>
        <w:contextualSpacing/>
        <w:rPr>
          <w:rFonts w:ascii="仿宋_GB2312" w:hAnsi="仿宋" w:eastAsia="仿宋_GB2312"/>
          <w:sz w:val="28"/>
          <w:szCs w:val="28"/>
        </w:rPr>
      </w:pPr>
      <w:r>
        <w:rPr>
          <w:rFonts w:hint="eastAsia" w:ascii="仿宋_GB2312" w:hAnsi="仿宋" w:eastAsia="仿宋_GB2312"/>
          <w:sz w:val="28"/>
          <w:szCs w:val="28"/>
        </w:rPr>
        <w:t>本项目磋商公告及采购文件在“南通市产业技术研究院有限公司网站公告公示栏”发布。</w:t>
      </w:r>
    </w:p>
    <w:p>
      <w:pPr>
        <w:snapToGrid w:val="0"/>
        <w:spacing w:line="300" w:lineRule="auto"/>
        <w:ind w:firstLine="555"/>
        <w:contextualSpacing/>
        <w:rPr>
          <w:rFonts w:ascii="仿宋_GB2312" w:hAnsi="宋体" w:eastAsia="仿宋_GB2312"/>
          <w:b/>
          <w:sz w:val="28"/>
          <w:szCs w:val="28"/>
        </w:rPr>
      </w:pPr>
      <w:r>
        <w:rPr>
          <w:rFonts w:hint="eastAsia" w:ascii="仿宋_GB2312" w:hAnsi="仿宋" w:eastAsia="仿宋_GB2312"/>
          <w:b/>
          <w:sz w:val="28"/>
          <w:szCs w:val="28"/>
        </w:rPr>
        <w:t>六</w:t>
      </w:r>
      <w:r>
        <w:rPr>
          <w:rFonts w:hint="eastAsia" w:ascii="仿宋_GB2312" w:hAnsi="宋体" w:eastAsia="仿宋_GB2312"/>
          <w:b/>
          <w:sz w:val="28"/>
          <w:szCs w:val="28"/>
        </w:rPr>
        <w:t>、磋商保证金</w:t>
      </w:r>
    </w:p>
    <w:p>
      <w:pPr>
        <w:spacing w:line="360" w:lineRule="auto"/>
        <w:ind w:firstLine="562" w:firstLineChars="200"/>
        <w:rPr>
          <w:rFonts w:ascii="仿宋_GB2312" w:eastAsia="仿宋_GB2312"/>
          <w:sz w:val="28"/>
          <w:szCs w:val="28"/>
          <w:lang w:val="zh-CN"/>
        </w:rPr>
      </w:pPr>
      <w:r>
        <w:rPr>
          <w:rFonts w:hint="eastAsia" w:ascii="仿宋_GB2312" w:hAnsi="宋体" w:eastAsia="仿宋_GB2312"/>
          <w:b/>
          <w:sz w:val="28"/>
          <w:szCs w:val="28"/>
          <w:lang w:val="zh-CN"/>
        </w:rPr>
        <w:t>本次采购收取磋商保证金</w:t>
      </w:r>
      <w:r>
        <w:rPr>
          <w:rFonts w:hint="eastAsia" w:ascii="仿宋_GB2312" w:hAnsi="宋体" w:eastAsia="仿宋_GB2312"/>
          <w:b/>
          <w:sz w:val="28"/>
          <w:szCs w:val="28"/>
        </w:rPr>
        <w:t>2400元</w:t>
      </w:r>
      <w:r>
        <w:rPr>
          <w:rFonts w:hint="eastAsia" w:ascii="仿宋_GB2312" w:hAnsi="宋体" w:eastAsia="仿宋_GB2312"/>
          <w:b/>
          <w:sz w:val="28"/>
          <w:szCs w:val="28"/>
          <w:lang w:val="zh-CN"/>
        </w:rPr>
        <w:t>，网银转账方式。</w:t>
      </w:r>
      <w:r>
        <w:rPr>
          <w:rFonts w:hint="eastAsia" w:ascii="仿宋_GB2312" w:eastAsia="仿宋_GB2312"/>
          <w:sz w:val="28"/>
          <w:szCs w:val="28"/>
        </w:rPr>
        <w:t>竞磋供应商在磋商现场递交本项目的磋商保证金后，方可递交纸质磋商响应文件。不递交本项目的磋商保证金，视为放弃磋商资格，将被判为无效磋商响应。</w:t>
      </w:r>
      <w:r>
        <w:rPr>
          <w:rFonts w:hint="eastAsia" w:ascii="仿宋_GB2312" w:eastAsia="仿宋_GB2312"/>
          <w:sz w:val="28"/>
          <w:szCs w:val="28"/>
          <w:lang w:val="zh-CN"/>
        </w:rPr>
        <w:t>保证金账户信息如下：</w:t>
      </w:r>
    </w:p>
    <w:p>
      <w:pPr>
        <w:spacing w:line="360" w:lineRule="auto"/>
        <w:ind w:firstLine="560" w:firstLineChars="200"/>
        <w:rPr>
          <w:rFonts w:ascii="仿宋_GB2312" w:eastAsia="仿宋_GB2312"/>
          <w:sz w:val="28"/>
          <w:szCs w:val="28"/>
          <w:lang w:val="zh-CN"/>
        </w:rPr>
      </w:pPr>
      <w:r>
        <w:rPr>
          <w:rFonts w:hint="eastAsia" w:ascii="仿宋_GB2312" w:eastAsia="仿宋_GB2312"/>
          <w:sz w:val="28"/>
          <w:szCs w:val="28"/>
          <w:lang w:val="zh-CN"/>
        </w:rPr>
        <w:t>保证金收款账户：江苏中润工程建设咨询有限公司南通分公司</w:t>
      </w:r>
    </w:p>
    <w:p>
      <w:pPr>
        <w:spacing w:line="360" w:lineRule="auto"/>
        <w:ind w:firstLine="560" w:firstLineChars="200"/>
        <w:rPr>
          <w:rFonts w:ascii="仿宋_GB2312" w:eastAsia="仿宋_GB2312"/>
          <w:sz w:val="28"/>
          <w:szCs w:val="28"/>
          <w:lang w:val="zh-CN"/>
        </w:rPr>
      </w:pPr>
      <w:r>
        <w:rPr>
          <w:rFonts w:hint="eastAsia" w:ascii="仿宋_GB2312" w:eastAsia="仿宋_GB2312"/>
          <w:sz w:val="28"/>
          <w:szCs w:val="28"/>
          <w:lang w:val="zh-CN"/>
        </w:rPr>
        <w:t>开户行：中国农业银行南通分行营业部</w:t>
      </w:r>
    </w:p>
    <w:p>
      <w:pPr>
        <w:spacing w:line="360" w:lineRule="auto"/>
        <w:ind w:firstLine="560" w:firstLineChars="200"/>
        <w:rPr>
          <w:rFonts w:ascii="仿宋_GB2312" w:eastAsia="仿宋_GB2312"/>
          <w:sz w:val="28"/>
          <w:szCs w:val="28"/>
          <w:lang w:val="zh-CN"/>
        </w:rPr>
      </w:pPr>
      <w:r>
        <w:rPr>
          <w:rFonts w:hint="eastAsia" w:ascii="仿宋_GB2312" w:eastAsia="仿宋_GB2312"/>
          <w:sz w:val="28"/>
          <w:szCs w:val="28"/>
          <w:lang w:val="zh-CN"/>
        </w:rPr>
        <w:t>帐  号：</w:t>
      </w:r>
      <w:r>
        <w:rPr>
          <w:rFonts w:hint="eastAsia" w:ascii="仿宋_GB2312" w:eastAsia="仿宋_GB2312"/>
          <w:sz w:val="28"/>
          <w:szCs w:val="28"/>
        </w:rPr>
        <w:t>10</w:t>
      </w:r>
      <w:r>
        <w:rPr>
          <w:rFonts w:hint="eastAsia" w:ascii="仿宋_GB2312" w:eastAsia="仿宋_GB2312"/>
          <w:sz w:val="28"/>
          <w:szCs w:val="28"/>
          <w:lang w:val="zh-CN"/>
        </w:rPr>
        <w:t>707001040224564</w:t>
      </w:r>
    </w:p>
    <w:p>
      <w:pPr>
        <w:snapToGrid w:val="0"/>
        <w:spacing w:line="300" w:lineRule="auto"/>
        <w:ind w:firstLine="562" w:firstLineChars="200"/>
        <w:contextualSpacing/>
        <w:rPr>
          <w:rFonts w:ascii="仿宋_GB2312" w:hAnsi="宋体" w:eastAsia="仿宋_GB2312"/>
          <w:b/>
          <w:sz w:val="28"/>
          <w:szCs w:val="28"/>
        </w:rPr>
      </w:pPr>
      <w:r>
        <w:rPr>
          <w:rFonts w:hint="eastAsia" w:ascii="仿宋_GB2312" w:hAnsi="宋体" w:eastAsia="仿宋_GB2312"/>
          <w:b/>
          <w:sz w:val="28"/>
          <w:szCs w:val="28"/>
        </w:rPr>
        <w:t>七、磋商文件下载、响应文件递交</w:t>
      </w:r>
    </w:p>
    <w:p>
      <w:pPr>
        <w:snapToGrid w:val="0"/>
        <w:spacing w:line="300" w:lineRule="auto"/>
        <w:ind w:firstLine="560" w:firstLineChars="200"/>
        <w:contextualSpacing/>
        <w:rPr>
          <w:rFonts w:ascii="仿宋_GB2312" w:hAnsi="仿宋" w:eastAsia="仿宋_GB2312"/>
          <w:sz w:val="28"/>
          <w:szCs w:val="28"/>
          <w:lang w:val="zh-CN"/>
        </w:rPr>
      </w:pPr>
      <w:r>
        <w:rPr>
          <w:rFonts w:hint="eastAsia" w:ascii="仿宋_GB2312" w:hAnsi="仿宋" w:eastAsia="仿宋_GB2312"/>
          <w:sz w:val="28"/>
          <w:szCs w:val="28"/>
        </w:rPr>
        <w:t>1、</w:t>
      </w:r>
      <w:r>
        <w:rPr>
          <w:rFonts w:hint="eastAsia" w:ascii="仿宋_GB2312" w:hAnsi="宋体" w:eastAsia="仿宋_GB2312"/>
          <w:snapToGrid w:val="0"/>
          <w:sz w:val="28"/>
          <w:szCs w:val="28"/>
        </w:rPr>
        <w:t>下载磋商文件：</w:t>
      </w:r>
      <w:r>
        <w:rPr>
          <w:rFonts w:hint="eastAsia" w:ascii="仿宋_GB2312" w:hAnsi="仿宋" w:eastAsia="仿宋_GB2312"/>
          <w:sz w:val="28"/>
          <w:szCs w:val="28"/>
          <w:lang w:val="zh-CN"/>
        </w:rPr>
        <w:t>自本公告发布之日起可在本项目公告附件中下载磋商文件。</w:t>
      </w:r>
    </w:p>
    <w:p>
      <w:pPr>
        <w:snapToGrid w:val="0"/>
        <w:spacing w:line="300" w:lineRule="auto"/>
        <w:ind w:firstLine="560" w:firstLineChars="200"/>
        <w:contextualSpacing/>
        <w:rPr>
          <w:rFonts w:ascii="仿宋_GB2312" w:hAnsi="宋体" w:eastAsia="仿宋_GB2312"/>
          <w:b/>
          <w:sz w:val="28"/>
          <w:szCs w:val="28"/>
        </w:rPr>
      </w:pPr>
      <w:r>
        <w:rPr>
          <w:rFonts w:hint="eastAsia" w:ascii="仿宋_GB2312" w:hAnsi="宋体" w:eastAsia="仿宋_GB2312"/>
          <w:sz w:val="28"/>
          <w:szCs w:val="28"/>
        </w:rPr>
        <w:t>2、提交响应文件：供应商在</w:t>
      </w:r>
      <w:r>
        <w:rPr>
          <w:rFonts w:hint="eastAsia" w:ascii="仿宋_GB2312" w:hAnsi="宋体" w:eastAsia="仿宋_GB2312"/>
          <w:sz w:val="28"/>
          <w:szCs w:val="28"/>
          <w:lang w:eastAsia="zh-CN"/>
        </w:rPr>
        <w:t>接受响应文件</w:t>
      </w:r>
      <w:r>
        <w:rPr>
          <w:rFonts w:hint="eastAsia" w:ascii="仿宋_GB2312" w:hAnsi="宋体" w:eastAsia="仿宋_GB2312"/>
          <w:sz w:val="28"/>
          <w:szCs w:val="28"/>
        </w:rPr>
        <w:t>截止时间之前，向采购代理机构提交磋商响应文件。</w:t>
      </w:r>
    </w:p>
    <w:p>
      <w:pPr>
        <w:snapToGrid w:val="0"/>
        <w:spacing w:line="300" w:lineRule="auto"/>
        <w:ind w:firstLine="560" w:firstLineChars="200"/>
        <w:contextualSpacing/>
        <w:rPr>
          <w:rFonts w:ascii="仿宋_GB2312" w:hAnsi="仿宋" w:eastAsia="仿宋_GB2312"/>
          <w:sz w:val="28"/>
          <w:szCs w:val="28"/>
        </w:rPr>
      </w:pPr>
      <w:r>
        <w:rPr>
          <w:rFonts w:hint="eastAsia" w:ascii="仿宋_GB2312" w:hAnsi="宋体" w:eastAsia="仿宋_GB2312"/>
          <w:bCs/>
          <w:sz w:val="28"/>
          <w:szCs w:val="28"/>
        </w:rPr>
        <w:t>3</w:t>
      </w:r>
      <w:r>
        <w:rPr>
          <w:rFonts w:hint="eastAsia" w:ascii="仿宋_GB2312" w:hAnsi="仿宋" w:eastAsia="仿宋_GB2312"/>
          <w:sz w:val="28"/>
          <w:szCs w:val="28"/>
          <w:lang w:val="zh-CN"/>
        </w:rPr>
        <w:t>、纸质</w:t>
      </w:r>
      <w:r>
        <w:rPr>
          <w:rFonts w:hint="eastAsia" w:ascii="仿宋_GB2312" w:hAnsi="仿宋" w:eastAsia="仿宋_GB2312"/>
          <w:sz w:val="28"/>
          <w:szCs w:val="28"/>
        </w:rPr>
        <w:t>响应文件接收截止及</w:t>
      </w:r>
      <w:r>
        <w:rPr>
          <w:rFonts w:hint="eastAsia" w:ascii="仿宋_GB2312" w:hAnsi="仿宋" w:eastAsia="仿宋_GB2312"/>
          <w:sz w:val="28"/>
          <w:szCs w:val="28"/>
          <w:lang w:eastAsia="zh-CN"/>
        </w:rPr>
        <w:t>磋商开始</w:t>
      </w:r>
      <w:r>
        <w:rPr>
          <w:rFonts w:hint="eastAsia" w:ascii="仿宋_GB2312" w:hAnsi="仿宋" w:eastAsia="仿宋_GB2312"/>
          <w:sz w:val="28"/>
          <w:szCs w:val="28"/>
        </w:rPr>
        <w:t>时间、地点：</w:t>
      </w:r>
    </w:p>
    <w:p>
      <w:pPr>
        <w:snapToGrid w:val="0"/>
        <w:spacing w:line="300" w:lineRule="auto"/>
        <w:ind w:firstLine="560" w:firstLineChars="200"/>
        <w:contextualSpacing/>
        <w:rPr>
          <w:rFonts w:ascii="仿宋_GB2312" w:hAnsi="仿宋" w:eastAsia="仿宋_GB2312"/>
          <w:sz w:val="28"/>
          <w:szCs w:val="28"/>
        </w:rPr>
      </w:pPr>
      <w:r>
        <w:rPr>
          <w:rFonts w:hint="eastAsia" w:ascii="仿宋_GB2312" w:hAnsi="仿宋" w:eastAsia="仿宋_GB2312"/>
          <w:sz w:val="28"/>
          <w:szCs w:val="28"/>
        </w:rPr>
        <w:t>时间：2019年3月</w:t>
      </w:r>
      <w:r>
        <w:rPr>
          <w:rFonts w:hint="eastAsia" w:ascii="仿宋_GB2312" w:hAnsi="仿宋" w:eastAsia="仿宋_GB2312"/>
          <w:sz w:val="28"/>
          <w:szCs w:val="28"/>
          <w:lang w:val="en-US" w:eastAsia="zh-CN"/>
        </w:rPr>
        <w:t>2</w:t>
      </w:r>
      <w:r>
        <w:rPr>
          <w:rFonts w:hint="eastAsia" w:ascii="仿宋_GB2312" w:hAnsi="仿宋" w:eastAsia="仿宋_GB2312"/>
          <w:sz w:val="28"/>
          <w:szCs w:val="28"/>
        </w:rPr>
        <w:t>日14:00</w:t>
      </w:r>
    </w:p>
    <w:p>
      <w:pPr>
        <w:snapToGrid w:val="0"/>
        <w:spacing w:line="300" w:lineRule="auto"/>
        <w:ind w:firstLine="560" w:firstLineChars="200"/>
        <w:contextualSpacing/>
        <w:rPr>
          <w:rFonts w:hint="default" w:ascii="仿宋_GB2312" w:hAnsi="仿宋" w:eastAsia="仿宋_GB2312" w:cs="宋体"/>
          <w:kern w:val="0"/>
          <w:sz w:val="28"/>
          <w:szCs w:val="28"/>
          <w:lang w:val="en-US" w:eastAsia="zh-CN"/>
        </w:rPr>
      </w:pPr>
      <w:r>
        <w:rPr>
          <w:rFonts w:hint="eastAsia" w:ascii="仿宋_GB2312" w:hAnsi="仿宋" w:eastAsia="仿宋_GB2312"/>
          <w:sz w:val="28"/>
          <w:szCs w:val="28"/>
        </w:rPr>
        <w:t>地点：南通市</w:t>
      </w:r>
      <w:r>
        <w:rPr>
          <w:rFonts w:hint="eastAsia" w:ascii="仿宋_GB2312" w:hAnsi="仿宋" w:eastAsia="仿宋_GB2312"/>
          <w:sz w:val="28"/>
          <w:szCs w:val="28"/>
          <w:lang w:val="en-US" w:eastAsia="zh-CN"/>
        </w:rPr>
        <w:t>产业技术研究院有限公司3号楼311会议室</w:t>
      </w:r>
    </w:p>
    <w:p>
      <w:pPr>
        <w:snapToGrid w:val="0"/>
        <w:spacing w:line="300" w:lineRule="auto"/>
        <w:ind w:firstLine="562" w:firstLineChars="200"/>
        <w:contextualSpacing/>
        <w:rPr>
          <w:rFonts w:ascii="仿宋_GB2312" w:hAnsi="仿宋" w:eastAsia="仿宋_GB2312"/>
          <w:b/>
          <w:sz w:val="28"/>
          <w:szCs w:val="28"/>
        </w:rPr>
      </w:pPr>
      <w:r>
        <w:rPr>
          <w:rFonts w:hint="eastAsia" w:ascii="仿宋_GB2312" w:hAnsi="仿宋" w:eastAsia="仿宋_GB2312"/>
          <w:b/>
          <w:sz w:val="28"/>
          <w:szCs w:val="28"/>
        </w:rPr>
        <w:t>八、本磋商项目联系事项</w:t>
      </w:r>
    </w:p>
    <w:p>
      <w:pPr>
        <w:snapToGrid w:val="0"/>
        <w:spacing w:line="300" w:lineRule="auto"/>
        <w:ind w:firstLine="560" w:firstLineChars="200"/>
        <w:contextualSpacing/>
        <w:jc w:val="left"/>
        <w:rPr>
          <w:rFonts w:ascii="仿宋_GB2312" w:hAnsi="仿宋" w:eastAsia="仿宋_GB2312"/>
          <w:sz w:val="28"/>
          <w:szCs w:val="28"/>
        </w:rPr>
      </w:pPr>
      <w:r>
        <w:rPr>
          <w:rFonts w:hint="eastAsia" w:ascii="仿宋_GB2312" w:hAnsi="仿宋" w:eastAsia="仿宋_GB2312"/>
          <w:sz w:val="28"/>
          <w:szCs w:val="28"/>
        </w:rPr>
        <w:t>采购代理机构方面</w:t>
      </w:r>
      <w:r>
        <w:rPr>
          <w:rFonts w:ascii="仿宋_GB2312" w:hAnsi="仿宋" w:eastAsia="仿宋_GB2312"/>
          <w:sz w:val="28"/>
          <w:szCs w:val="28"/>
        </w:rPr>
        <w:t>：</w:t>
      </w:r>
      <w:r>
        <w:rPr>
          <w:rFonts w:hint="eastAsia" w:ascii="仿宋_GB2312" w:hAnsi="仿宋" w:eastAsia="仿宋_GB2312"/>
          <w:sz w:val="28"/>
          <w:szCs w:val="28"/>
        </w:rPr>
        <w:t xml:space="preserve">联系人，胡工，电话15950802710 </w:t>
      </w:r>
    </w:p>
    <w:p>
      <w:pPr>
        <w:snapToGrid w:val="0"/>
        <w:spacing w:line="300" w:lineRule="auto"/>
        <w:ind w:firstLine="560" w:firstLineChars="200"/>
        <w:contextualSpacing/>
        <w:jc w:val="left"/>
        <w:rPr>
          <w:rFonts w:ascii="仿宋_GB2312" w:hAnsi="仿宋" w:eastAsia="仿宋_GB2312"/>
          <w:sz w:val="28"/>
          <w:szCs w:val="28"/>
        </w:rPr>
      </w:pPr>
      <w:r>
        <w:rPr>
          <w:rFonts w:hint="eastAsia" w:ascii="仿宋_GB2312" w:hAnsi="仿宋" w:eastAsia="仿宋_GB2312"/>
          <w:sz w:val="28"/>
          <w:szCs w:val="28"/>
        </w:rPr>
        <w:t>邮箱279366603@qq.com；</w:t>
      </w:r>
    </w:p>
    <w:p>
      <w:pPr>
        <w:snapToGrid w:val="0"/>
        <w:spacing w:line="300" w:lineRule="auto"/>
        <w:ind w:firstLine="560" w:firstLineChars="200"/>
        <w:contextualSpacing/>
        <w:jc w:val="left"/>
        <w:rPr>
          <w:rFonts w:ascii="仿宋_GB2312" w:hAnsi="仿宋" w:eastAsia="仿宋_GB2312"/>
          <w:sz w:val="28"/>
          <w:szCs w:val="28"/>
        </w:rPr>
      </w:pPr>
      <w:r>
        <w:rPr>
          <w:rFonts w:hint="eastAsia" w:ascii="仿宋_GB2312" w:hAnsi="仿宋" w:eastAsia="仿宋_GB2312"/>
          <w:sz w:val="28"/>
          <w:szCs w:val="28"/>
        </w:rPr>
        <w:t>采购人方面：南通市产业技术研究院有限公司</w:t>
      </w:r>
    </w:p>
    <w:p>
      <w:pPr>
        <w:snapToGrid w:val="0"/>
        <w:spacing w:line="300" w:lineRule="auto"/>
        <w:ind w:firstLine="560" w:firstLineChars="200"/>
        <w:contextualSpacing/>
        <w:jc w:val="left"/>
        <w:rPr>
          <w:rFonts w:ascii="仿宋_GB2312" w:hAnsi="仿宋" w:eastAsia="仿宋_GB2312"/>
          <w:sz w:val="28"/>
          <w:szCs w:val="28"/>
        </w:rPr>
      </w:pPr>
      <w:r>
        <w:rPr>
          <w:rFonts w:hint="eastAsia" w:ascii="仿宋_GB2312" w:hAnsi="仿宋" w:eastAsia="仿宋_GB2312"/>
          <w:sz w:val="28"/>
          <w:szCs w:val="28"/>
        </w:rPr>
        <w:t>联系人：朱经理，电话：13962977898。</w:t>
      </w:r>
    </w:p>
    <w:p>
      <w:pPr>
        <w:snapToGrid w:val="0"/>
        <w:spacing w:line="300" w:lineRule="auto"/>
        <w:ind w:firstLine="560" w:firstLineChars="200"/>
        <w:contextualSpacing/>
        <w:rPr>
          <w:rFonts w:ascii="仿宋_GB2312" w:hAnsi="仿宋" w:eastAsia="仿宋_GB2312"/>
          <w:sz w:val="28"/>
          <w:szCs w:val="28"/>
        </w:rPr>
      </w:pPr>
      <w:r>
        <w:rPr>
          <w:rFonts w:ascii="仿宋_GB2312" w:hAnsi="仿宋" w:eastAsia="仿宋_GB2312"/>
          <w:sz w:val="28"/>
          <w:szCs w:val="28"/>
        </w:rPr>
        <w:t>对项目需求部分的询问、质疑请向采购人提出，询问、质疑由采购人负责答复。</w:t>
      </w:r>
    </w:p>
    <w:p>
      <w:pPr>
        <w:snapToGrid w:val="0"/>
        <w:spacing w:line="300" w:lineRule="auto"/>
        <w:ind w:firstLine="562" w:firstLineChars="200"/>
        <w:contextualSpacing/>
        <w:rPr>
          <w:rFonts w:ascii="仿宋_GB2312" w:hAnsi="宋体" w:eastAsia="仿宋_GB2312" w:cs="宋体"/>
          <w:b/>
          <w:sz w:val="28"/>
          <w:szCs w:val="28"/>
        </w:rPr>
      </w:pPr>
      <w:r>
        <w:rPr>
          <w:rFonts w:hint="eastAsia" w:ascii="仿宋_GB2312" w:hAnsi="宋体" w:eastAsia="仿宋_GB2312" w:cs="宋体"/>
          <w:b/>
          <w:sz w:val="28"/>
          <w:szCs w:val="28"/>
        </w:rPr>
        <w:t>九</w:t>
      </w:r>
      <w:r>
        <w:rPr>
          <w:rFonts w:ascii="仿宋_GB2312" w:hAnsi="宋体" w:eastAsia="仿宋_GB2312" w:cs="宋体"/>
          <w:b/>
          <w:sz w:val="28"/>
          <w:szCs w:val="28"/>
        </w:rPr>
        <w:t>、响应文件制作份数要求：</w:t>
      </w:r>
    </w:p>
    <w:p>
      <w:pPr>
        <w:snapToGrid w:val="0"/>
        <w:spacing w:line="300" w:lineRule="auto"/>
        <w:ind w:firstLine="560" w:firstLineChars="200"/>
        <w:contextualSpacing/>
        <w:rPr>
          <w:rFonts w:ascii="仿宋_GB2312" w:hAnsi="宋体" w:eastAsia="仿宋_GB2312" w:cs="宋体"/>
          <w:sz w:val="28"/>
          <w:szCs w:val="28"/>
        </w:rPr>
      </w:pPr>
      <w:r>
        <w:rPr>
          <w:rFonts w:hint="eastAsia" w:ascii="仿宋_GB2312" w:hAnsi="宋体" w:eastAsia="仿宋_GB2312" w:cs="宋体"/>
          <w:sz w:val="28"/>
          <w:szCs w:val="28"/>
        </w:rPr>
        <w:t>详见磋商文件第七部分“响应文件组成”的具体要求。</w:t>
      </w:r>
    </w:p>
    <w:p>
      <w:pPr>
        <w:snapToGrid w:val="0"/>
        <w:spacing w:line="300" w:lineRule="auto"/>
        <w:ind w:firstLine="562" w:firstLineChars="200"/>
        <w:contextualSpacing/>
        <w:rPr>
          <w:rFonts w:ascii="仿宋_GB2312" w:hAnsi="仿宋" w:eastAsia="仿宋_GB2312"/>
          <w:b/>
          <w:sz w:val="28"/>
          <w:szCs w:val="28"/>
        </w:rPr>
      </w:pPr>
      <w:r>
        <w:rPr>
          <w:rFonts w:hint="eastAsia" w:ascii="仿宋_GB2312" w:hAnsi="仿宋" w:eastAsia="仿宋_GB2312"/>
          <w:b/>
          <w:sz w:val="28"/>
          <w:szCs w:val="28"/>
        </w:rPr>
        <w:t>十、竞争性磋商程序简介</w:t>
      </w:r>
    </w:p>
    <w:p>
      <w:pPr>
        <w:snapToGrid w:val="0"/>
        <w:spacing w:line="300" w:lineRule="auto"/>
        <w:ind w:firstLine="562" w:firstLineChars="200"/>
        <w:contextualSpacing/>
        <w:rPr>
          <w:rFonts w:ascii="仿宋_GB2312" w:hAnsi="宋体" w:eastAsia="仿宋_GB2312"/>
          <w:bCs/>
          <w:sz w:val="28"/>
          <w:szCs w:val="28"/>
        </w:rPr>
      </w:pPr>
      <w:r>
        <w:rPr>
          <w:rFonts w:hint="eastAsia" w:ascii="仿宋_GB2312" w:hAnsi="宋体" w:eastAsia="仿宋_GB2312" w:cs="宋体"/>
          <w:b/>
          <w:sz w:val="28"/>
          <w:szCs w:val="28"/>
        </w:rPr>
        <w:t>供应商先对响应文件进行密封性检查，磋商小组审查响应供应商资格，</w:t>
      </w:r>
      <w:r>
        <w:rPr>
          <w:rFonts w:hint="eastAsia" w:ascii="仿宋_GB2312" w:hAnsi="宋体" w:eastAsia="仿宋_GB2312" w:cs="宋体"/>
          <w:sz w:val="28"/>
          <w:szCs w:val="28"/>
        </w:rPr>
        <w:t>符合资格的供应商接受磋商小组的各轮磋商。磋商结束后要求所有实质性响应的供应商在规定时间内提交最后报价（提交最后报价的供应商不得少于3家），磋商小组采用综合评分法对提交最后报价的供应商的响应文件和最后报价进行综合评分，响应文件满足磋商文件全部实质性要求且按评审因素的量化指标评审得分最高者，为成交供应商。</w:t>
      </w:r>
    </w:p>
    <w:p>
      <w:pPr>
        <w:autoSpaceDE w:val="0"/>
        <w:autoSpaceDN w:val="0"/>
        <w:adjustRightInd w:val="0"/>
        <w:snapToGrid w:val="0"/>
        <w:spacing w:line="300" w:lineRule="auto"/>
        <w:contextualSpacing/>
        <w:jc w:val="center"/>
        <w:rPr>
          <w:rFonts w:hint="eastAsia" w:ascii="仿宋_GB2312" w:eastAsia="仿宋_GB2312"/>
          <w:b/>
          <w:bCs/>
          <w:sz w:val="36"/>
          <w:szCs w:val="36"/>
          <w:lang w:val="zh-CN"/>
        </w:rPr>
      </w:pPr>
    </w:p>
    <w:p>
      <w:pPr>
        <w:autoSpaceDE w:val="0"/>
        <w:autoSpaceDN w:val="0"/>
        <w:adjustRightInd w:val="0"/>
        <w:snapToGrid w:val="0"/>
        <w:spacing w:line="300" w:lineRule="auto"/>
        <w:contextualSpacing/>
        <w:jc w:val="center"/>
        <w:rPr>
          <w:rFonts w:ascii="仿宋_GB2312" w:eastAsia="仿宋_GB2312"/>
          <w:b/>
          <w:bCs/>
          <w:sz w:val="36"/>
          <w:szCs w:val="36"/>
          <w:lang w:val="zh-CN"/>
        </w:rPr>
      </w:pPr>
      <w:r>
        <w:rPr>
          <w:rFonts w:hint="eastAsia" w:ascii="仿宋_GB2312" w:eastAsia="仿宋_GB2312"/>
          <w:b/>
          <w:bCs/>
          <w:sz w:val="36"/>
          <w:szCs w:val="36"/>
          <w:lang w:val="zh-CN"/>
        </w:rPr>
        <w:t xml:space="preserve">第二部分 </w:t>
      </w:r>
      <w:r>
        <w:rPr>
          <w:rFonts w:hint="eastAsia" w:ascii="仿宋_GB2312" w:eastAsia="仿宋_GB2312"/>
          <w:b/>
          <w:bCs/>
          <w:sz w:val="36"/>
          <w:szCs w:val="36"/>
        </w:rPr>
        <w:t xml:space="preserve"> </w:t>
      </w:r>
      <w:r>
        <w:rPr>
          <w:rFonts w:hint="eastAsia" w:ascii="仿宋_GB2312" w:eastAsia="仿宋_GB2312"/>
          <w:b/>
          <w:bCs/>
          <w:sz w:val="36"/>
          <w:szCs w:val="36"/>
          <w:lang w:val="zh-CN"/>
        </w:rPr>
        <w:t>磋商须知</w:t>
      </w:r>
    </w:p>
    <w:p>
      <w:pPr>
        <w:autoSpaceDE w:val="0"/>
        <w:autoSpaceDN w:val="0"/>
        <w:adjustRightInd w:val="0"/>
        <w:snapToGrid w:val="0"/>
        <w:spacing w:line="300" w:lineRule="auto"/>
        <w:contextualSpacing/>
        <w:rPr>
          <w:rFonts w:ascii="黑体" w:eastAsia="黑体"/>
          <w:b/>
          <w:bCs/>
          <w:sz w:val="28"/>
          <w:szCs w:val="28"/>
          <w:lang w:val="zh-CN"/>
        </w:rPr>
      </w:pPr>
    </w:p>
    <w:p>
      <w:pPr>
        <w:snapToGrid w:val="0"/>
        <w:spacing w:line="300" w:lineRule="auto"/>
        <w:ind w:firstLine="562" w:firstLineChars="200"/>
        <w:contextualSpacing/>
        <w:outlineLvl w:val="0"/>
        <w:rPr>
          <w:rFonts w:ascii="仿宋_GB2312" w:eastAsia="仿宋_GB2312"/>
          <w:b/>
          <w:sz w:val="28"/>
          <w:szCs w:val="28"/>
        </w:rPr>
      </w:pPr>
      <w:r>
        <w:rPr>
          <w:rFonts w:hint="eastAsia" w:ascii="仿宋_GB2312" w:hAnsi="宋体" w:eastAsia="仿宋_GB2312"/>
          <w:b/>
          <w:sz w:val="28"/>
          <w:szCs w:val="28"/>
        </w:rPr>
        <w:t>一、</w:t>
      </w:r>
      <w:r>
        <w:rPr>
          <w:rFonts w:hint="eastAsia" w:ascii="仿宋_GB2312" w:eastAsia="仿宋_GB2312"/>
          <w:b/>
          <w:sz w:val="28"/>
          <w:szCs w:val="28"/>
        </w:rPr>
        <w:t>本磋商文件由采购代理机构解释。</w:t>
      </w:r>
    </w:p>
    <w:p>
      <w:pPr>
        <w:snapToGrid w:val="0"/>
        <w:spacing w:line="300" w:lineRule="auto"/>
        <w:ind w:firstLine="560" w:firstLineChars="200"/>
        <w:contextualSpacing/>
        <w:rPr>
          <w:rFonts w:ascii="仿宋_GB2312" w:hAnsi="宋体" w:eastAsia="仿宋_GB2312"/>
          <w:b/>
          <w:sz w:val="28"/>
          <w:szCs w:val="28"/>
        </w:rPr>
      </w:pPr>
      <w:r>
        <w:rPr>
          <w:rFonts w:hint="eastAsia" w:ascii="仿宋_GB2312" w:hAnsi="宋体" w:eastAsia="仿宋_GB2312"/>
          <w:sz w:val="28"/>
          <w:szCs w:val="28"/>
        </w:rPr>
        <w:t>1、供应商在网上下载磋商文件后，应仔细检查磋商文件的所有内容，如对政府采购活动事项有疑问的，应向采购人或采购代理机构以书面形式提出，否则视同供应商理解并接受本磋商文件所有内容，并由此引起的损失自负。供应商不得在磋商结束后针对磋商文件所有内容提出质疑事项。</w:t>
      </w:r>
    </w:p>
    <w:p>
      <w:pPr>
        <w:snapToGrid w:val="0"/>
        <w:spacing w:line="300" w:lineRule="auto"/>
        <w:ind w:firstLine="560" w:firstLineChars="200"/>
        <w:contextualSpacing/>
        <w:rPr>
          <w:rFonts w:ascii="仿宋_GB2312" w:hAnsi="宋体" w:eastAsia="仿宋_GB2312"/>
          <w:sz w:val="28"/>
          <w:szCs w:val="28"/>
        </w:rPr>
      </w:pPr>
      <w:r>
        <w:rPr>
          <w:rFonts w:hint="eastAsia" w:ascii="仿宋_GB2312" w:hAnsi="宋体" w:eastAsia="仿宋_GB2312"/>
          <w:sz w:val="28"/>
          <w:szCs w:val="28"/>
        </w:rPr>
        <w:t>2、供应商应认真审阅磋商文件中所有的事项、格式、条款和规范要求等，如果供应商没有按照磋商文件要求提交响应文件，或者响应文件没有对磋商文件做出实质性响应，将被拒绝参与磋商。</w:t>
      </w:r>
    </w:p>
    <w:p>
      <w:pPr>
        <w:snapToGrid w:val="0"/>
        <w:spacing w:line="300" w:lineRule="auto"/>
        <w:ind w:firstLine="562" w:firstLineChars="200"/>
        <w:contextualSpacing/>
        <w:rPr>
          <w:rFonts w:ascii="仿宋_GB2312" w:hAnsi="宋体" w:eastAsia="仿宋_GB2312"/>
          <w:b/>
          <w:sz w:val="28"/>
          <w:szCs w:val="28"/>
        </w:rPr>
      </w:pPr>
      <w:r>
        <w:rPr>
          <w:rFonts w:hint="eastAsia" w:ascii="仿宋_GB2312" w:hAnsi="宋体" w:eastAsia="仿宋_GB2312"/>
          <w:b/>
          <w:sz w:val="28"/>
          <w:szCs w:val="28"/>
        </w:rPr>
        <w:t>二、磋商文件的澄清、修改、答疑</w:t>
      </w:r>
    </w:p>
    <w:p>
      <w:pPr>
        <w:pStyle w:val="9"/>
        <w:snapToGrid w:val="0"/>
        <w:spacing w:line="300" w:lineRule="auto"/>
        <w:ind w:left="0" w:leftChars="0" w:firstLine="560" w:firstLineChars="200"/>
        <w:contextualSpacing/>
        <w:rPr>
          <w:rFonts w:ascii="仿宋_GB2312" w:hAnsi="宋体" w:eastAsia="仿宋_GB2312"/>
          <w:sz w:val="28"/>
          <w:szCs w:val="28"/>
        </w:rPr>
      </w:pPr>
      <w:r>
        <w:rPr>
          <w:rFonts w:hint="eastAsia" w:ascii="仿宋_GB2312" w:hAnsi="宋体" w:eastAsia="仿宋_GB2312"/>
          <w:sz w:val="28"/>
          <w:szCs w:val="28"/>
        </w:rPr>
        <w:t>采购代理机构可以对已发出的磋商文件进行必要的澄清或者修改，澄清或者修改的内容作为磋商文件的组成部分。澄清或者修改的内容可能影响响应文件编制的，采购代理机构将在提交首次响应文件截止之日5日前，以网上公告书面形式通知所有接收磋商文件的供应商，不足5日的，应当顺延提交首次响应文件截止之日。</w:t>
      </w:r>
    </w:p>
    <w:p>
      <w:pPr>
        <w:pStyle w:val="9"/>
        <w:snapToGrid w:val="0"/>
        <w:spacing w:line="300" w:lineRule="auto"/>
        <w:ind w:left="0" w:leftChars="0" w:firstLine="560" w:firstLineChars="200"/>
        <w:contextualSpacing/>
        <w:rPr>
          <w:rFonts w:ascii="仿宋_GB2312" w:eastAsia="仿宋_GB2312" w:cs="仿宋_GB2312"/>
          <w:sz w:val="28"/>
          <w:szCs w:val="28"/>
          <w:lang w:val="zh-CN"/>
        </w:rPr>
      </w:pPr>
      <w:r>
        <w:rPr>
          <w:rFonts w:hint="eastAsia" w:ascii="仿宋_GB2312" w:hAnsi="宋体" w:eastAsia="仿宋_GB2312"/>
          <w:sz w:val="28"/>
          <w:szCs w:val="28"/>
        </w:rPr>
        <w:t>供应商由于对磋商文件的任何推论和误解以及采购代理机构对有</w:t>
      </w:r>
      <w:r>
        <w:rPr>
          <w:rFonts w:hint="eastAsia" w:ascii="仿宋_GB2312" w:eastAsia="仿宋_GB2312" w:cs="仿宋_GB2312"/>
          <w:sz w:val="28"/>
          <w:szCs w:val="28"/>
          <w:lang w:val="zh-CN"/>
        </w:rPr>
        <w:t>关问题的口头解释所造成的后果，均由供应商自负。</w:t>
      </w:r>
    </w:p>
    <w:p>
      <w:pPr>
        <w:autoSpaceDE w:val="0"/>
        <w:autoSpaceDN w:val="0"/>
        <w:adjustRightInd w:val="0"/>
        <w:snapToGrid w:val="0"/>
        <w:spacing w:after="120" w:line="300" w:lineRule="auto"/>
        <w:ind w:firstLine="562"/>
        <w:contextualSpacing/>
        <w:rPr>
          <w:rFonts w:eastAsia="仿宋_GB2312"/>
          <w:b/>
          <w:bCs/>
          <w:sz w:val="28"/>
          <w:szCs w:val="28"/>
        </w:rPr>
      </w:pPr>
      <w:r>
        <w:rPr>
          <w:rFonts w:hint="eastAsia" w:ascii="仿宋_GB2312" w:eastAsia="仿宋_GB2312" w:cs="仿宋_GB2312"/>
          <w:b/>
          <w:bCs/>
          <w:sz w:val="28"/>
          <w:szCs w:val="28"/>
          <w:lang w:val="zh-CN"/>
        </w:rPr>
        <w:t>三、响应文件的编写、份数和签署</w:t>
      </w:r>
    </w:p>
    <w:p>
      <w:pPr>
        <w:autoSpaceDE w:val="0"/>
        <w:autoSpaceDN w:val="0"/>
        <w:adjustRightInd w:val="0"/>
        <w:snapToGrid w:val="0"/>
        <w:spacing w:line="300" w:lineRule="auto"/>
        <w:ind w:firstLine="560" w:firstLineChars="200"/>
        <w:contextualSpacing/>
        <w:jc w:val="left"/>
        <w:rPr>
          <w:rFonts w:ascii="仿宋_GB2312" w:hAnsi="宋体" w:eastAsia="仿宋_GB2312"/>
          <w:sz w:val="28"/>
          <w:szCs w:val="28"/>
        </w:rPr>
      </w:pPr>
      <w:r>
        <w:rPr>
          <w:rFonts w:ascii="仿宋_GB2312" w:eastAsia="仿宋_GB2312" w:cs="仿宋_GB2312"/>
          <w:sz w:val="28"/>
          <w:szCs w:val="28"/>
          <w:lang w:val="zh-CN"/>
        </w:rPr>
        <w:t>1</w:t>
      </w:r>
      <w:r>
        <w:rPr>
          <w:rFonts w:hint="eastAsia" w:ascii="仿宋_GB2312" w:eastAsia="仿宋_GB2312" w:cs="仿宋_GB2312"/>
          <w:sz w:val="28"/>
          <w:szCs w:val="28"/>
          <w:lang w:val="zh-CN"/>
        </w:rPr>
        <w:t>、供应商按“第七部分 响应文件组成”要求编写响应文件，自编目录并连续标注页码，不得将内容拆开，并牢固装订成册。响应文件均需采用</w:t>
      </w:r>
      <w:r>
        <w:rPr>
          <w:rFonts w:ascii="仿宋_GB2312" w:eastAsia="仿宋_GB2312" w:cs="仿宋_GB2312"/>
          <w:sz w:val="28"/>
          <w:szCs w:val="28"/>
          <w:lang w:val="zh-CN"/>
        </w:rPr>
        <w:t>A4</w:t>
      </w:r>
      <w:r>
        <w:rPr>
          <w:rFonts w:hint="eastAsia" w:ascii="仿宋_GB2312" w:eastAsia="仿宋_GB2312" w:cs="仿宋_GB2312"/>
          <w:sz w:val="28"/>
          <w:szCs w:val="28"/>
          <w:lang w:val="zh-CN"/>
        </w:rPr>
        <w:t>纸（</w:t>
      </w:r>
      <w:r>
        <w:rPr>
          <w:rFonts w:hint="eastAsia" w:ascii="仿宋_GB2312" w:hAnsi="宋体" w:eastAsia="仿宋_GB2312"/>
          <w:sz w:val="28"/>
          <w:szCs w:val="28"/>
        </w:rPr>
        <w:t>图纸等除外），不允许使用活页夹、拉杆夹、文件夹、塑料方便式书脊（插入式或穿孔式）装订。响应文件不得行间插字、涂改、增删，如修补错漏处，须经响应文件签署人签字并加盖公章。</w:t>
      </w:r>
    </w:p>
    <w:p>
      <w:pPr>
        <w:snapToGrid w:val="0"/>
        <w:spacing w:line="300" w:lineRule="auto"/>
        <w:ind w:firstLine="560" w:firstLineChars="200"/>
        <w:rPr>
          <w:rFonts w:ascii="仿宋_GB2312" w:hAnsi="宋体" w:eastAsia="仿宋_GB2312"/>
          <w:sz w:val="28"/>
          <w:szCs w:val="28"/>
        </w:rPr>
      </w:pPr>
      <w:r>
        <w:rPr>
          <w:rFonts w:hint="eastAsia" w:ascii="仿宋_GB2312" w:hAnsi="宋体" w:eastAsia="仿宋_GB2312"/>
          <w:sz w:val="28"/>
          <w:szCs w:val="28"/>
        </w:rPr>
        <w:t>2、响应文件正本须打印并由法定代表人或授权人签字并加盖单位印章。副本可复印，但须加盖单位印章。</w:t>
      </w:r>
    </w:p>
    <w:p>
      <w:pPr>
        <w:snapToGrid w:val="0"/>
        <w:spacing w:line="300" w:lineRule="auto"/>
        <w:ind w:firstLine="560" w:firstLineChars="200"/>
        <w:rPr>
          <w:rFonts w:ascii="仿宋_GB2312" w:hAnsi="宋体" w:eastAsia="仿宋_GB2312"/>
          <w:color w:val="FF0000"/>
          <w:sz w:val="28"/>
          <w:szCs w:val="28"/>
        </w:rPr>
      </w:pPr>
      <w:r>
        <w:rPr>
          <w:rFonts w:hint="eastAsia" w:ascii="仿宋_GB2312" w:hAnsi="宋体" w:eastAsia="仿宋_GB2312"/>
          <w:sz w:val="28"/>
          <w:szCs w:val="28"/>
        </w:rPr>
        <w:t>3、</w:t>
      </w:r>
      <w:r>
        <w:rPr>
          <w:rFonts w:hint="eastAsia" w:ascii="仿宋_GB2312" w:hAnsi="宋体" w:eastAsia="仿宋_GB2312"/>
          <w:b/>
          <w:sz w:val="28"/>
          <w:szCs w:val="28"/>
        </w:rPr>
        <w:t>采购代理机构将拒绝接收未按照磋商文件要求密封的响应文件。</w:t>
      </w:r>
    </w:p>
    <w:p>
      <w:pPr>
        <w:snapToGrid w:val="0"/>
        <w:spacing w:line="300" w:lineRule="auto"/>
        <w:ind w:firstLine="562" w:firstLineChars="200"/>
        <w:contextualSpacing/>
        <w:rPr>
          <w:rFonts w:ascii="仿宋_GB2312" w:eastAsia="仿宋_GB2312"/>
          <w:b/>
          <w:sz w:val="28"/>
          <w:szCs w:val="28"/>
        </w:rPr>
      </w:pPr>
      <w:r>
        <w:rPr>
          <w:rFonts w:hint="eastAsia" w:ascii="仿宋_GB2312" w:eastAsia="仿宋_GB2312"/>
          <w:b/>
          <w:sz w:val="28"/>
          <w:szCs w:val="28"/>
        </w:rPr>
        <w:t>四、响应文件的密封及标记</w:t>
      </w:r>
    </w:p>
    <w:p>
      <w:pPr>
        <w:snapToGrid w:val="0"/>
        <w:spacing w:line="300" w:lineRule="auto"/>
        <w:ind w:firstLine="562" w:firstLineChars="200"/>
        <w:rPr>
          <w:rFonts w:ascii="仿宋_GB2312" w:eastAsia="仿宋_GB2312"/>
          <w:b/>
          <w:sz w:val="28"/>
          <w:szCs w:val="28"/>
        </w:rPr>
      </w:pPr>
      <w:r>
        <w:rPr>
          <w:rFonts w:hint="eastAsia" w:ascii="仿宋_GB2312" w:eastAsia="仿宋_GB2312"/>
          <w:b/>
          <w:sz w:val="28"/>
          <w:szCs w:val="28"/>
        </w:rPr>
        <w:t>1、商务技术文件应将正本、副本及图纸类等（如需提供图纸等其它资料的话）合并密封，统一装在一个密封袋或密封箱内（如有A3大小的图纸类，可单独密封）。</w:t>
      </w:r>
    </w:p>
    <w:p>
      <w:pPr>
        <w:snapToGrid w:val="0"/>
        <w:spacing w:line="300" w:lineRule="auto"/>
        <w:ind w:firstLine="560" w:firstLineChars="200"/>
        <w:rPr>
          <w:rFonts w:ascii="仿宋_GB2312" w:eastAsia="仿宋_GB2312"/>
          <w:sz w:val="28"/>
          <w:szCs w:val="28"/>
        </w:rPr>
      </w:pPr>
      <w:r>
        <w:rPr>
          <w:rFonts w:hint="eastAsia" w:ascii="仿宋_GB2312" w:eastAsia="仿宋_GB2312"/>
          <w:sz w:val="28"/>
          <w:szCs w:val="28"/>
        </w:rPr>
        <w:t>2、</w:t>
      </w:r>
      <w:r>
        <w:rPr>
          <w:rFonts w:hint="eastAsia" w:ascii="仿宋_GB2312" w:eastAsia="仿宋_GB2312"/>
          <w:b/>
          <w:sz w:val="28"/>
          <w:szCs w:val="28"/>
        </w:rPr>
        <w:t>响应报价表须单独密封</w:t>
      </w:r>
      <w:r>
        <w:rPr>
          <w:rFonts w:hint="eastAsia" w:ascii="仿宋_GB2312" w:eastAsia="仿宋_GB2312"/>
          <w:sz w:val="28"/>
          <w:szCs w:val="28"/>
        </w:rPr>
        <w:t>，不得出现于其他磋商响应文件中。</w:t>
      </w:r>
    </w:p>
    <w:p>
      <w:pPr>
        <w:snapToGrid w:val="0"/>
        <w:spacing w:line="300" w:lineRule="auto"/>
        <w:ind w:firstLine="560" w:firstLineChars="200"/>
        <w:contextualSpacing/>
        <w:rPr>
          <w:rFonts w:ascii="仿宋_GB2312" w:eastAsia="仿宋_GB2312"/>
          <w:sz w:val="28"/>
          <w:szCs w:val="28"/>
        </w:rPr>
      </w:pPr>
      <w:r>
        <w:rPr>
          <w:rFonts w:hint="eastAsia" w:ascii="仿宋_GB2312" w:eastAsia="仿宋_GB2312"/>
          <w:sz w:val="28"/>
          <w:szCs w:val="28"/>
        </w:rPr>
        <w:t>3、密封后应标明响应文件项目名称、项目编号、边缝处加盖单位骑缝章或骑缝签字，并注明于磋商前不得启封。</w:t>
      </w:r>
    </w:p>
    <w:p>
      <w:pPr>
        <w:snapToGrid w:val="0"/>
        <w:spacing w:line="300" w:lineRule="auto"/>
        <w:ind w:firstLine="562" w:firstLineChars="200"/>
        <w:contextualSpacing/>
        <w:rPr>
          <w:rFonts w:ascii="仿宋_GB2312" w:eastAsia="仿宋_GB2312"/>
          <w:b/>
          <w:sz w:val="28"/>
          <w:szCs w:val="28"/>
        </w:rPr>
      </w:pPr>
      <w:r>
        <w:rPr>
          <w:rFonts w:hint="eastAsia" w:ascii="仿宋_GB2312" w:eastAsia="仿宋_GB2312"/>
          <w:b/>
          <w:sz w:val="28"/>
          <w:szCs w:val="28"/>
        </w:rPr>
        <w:t>五、报价准备</w:t>
      </w:r>
    </w:p>
    <w:p>
      <w:pPr>
        <w:pStyle w:val="36"/>
        <w:snapToGrid w:val="0"/>
        <w:spacing w:line="300" w:lineRule="auto"/>
        <w:ind w:firstLine="577"/>
        <w:contextualSpacing/>
        <w:rPr>
          <w:rFonts w:hAnsi="Times New Roman"/>
          <w:sz w:val="28"/>
        </w:rPr>
      </w:pPr>
      <w:r>
        <w:rPr>
          <w:rFonts w:hint="eastAsia" w:hAnsi="Times New Roman"/>
          <w:sz w:val="28"/>
        </w:rPr>
        <w:t>1、供应商应根据自己的服务经营能力进行磋商报价。</w:t>
      </w:r>
    </w:p>
    <w:p>
      <w:pPr>
        <w:pStyle w:val="36"/>
        <w:snapToGrid w:val="0"/>
        <w:spacing w:line="300" w:lineRule="auto"/>
        <w:ind w:firstLine="577"/>
        <w:contextualSpacing/>
        <w:rPr>
          <w:rFonts w:hAnsi="Times New Roman"/>
          <w:sz w:val="28"/>
        </w:rPr>
      </w:pPr>
      <w:r>
        <w:rPr>
          <w:rFonts w:hint="eastAsia" w:hAnsi="Times New Roman"/>
          <w:sz w:val="28"/>
        </w:rPr>
        <w:t xml:space="preserve">2、磋商结束后，供应商就所投项目的所有内容进行最后报价，少报无效。最后报价应包括完成本项目的全部费用(含一切必须的辅助材料费用)及相关服务费等。包括但不限于如人工、备件、易耗品耗材、专用工具费用及相关劳务支出等工作所发生的全部费用以及供应商企业利润、税金、招标代理费和政策性文件规定及合同包含的所有风险、责任，即响应本项目的各项应有费用。 </w:t>
      </w:r>
    </w:p>
    <w:p>
      <w:pPr>
        <w:pStyle w:val="36"/>
        <w:snapToGrid w:val="0"/>
        <w:spacing w:line="300" w:lineRule="auto"/>
        <w:ind w:firstLine="577"/>
        <w:contextualSpacing/>
        <w:rPr>
          <w:rFonts w:hAnsi="Times New Roman"/>
          <w:sz w:val="28"/>
        </w:rPr>
      </w:pPr>
      <w:r>
        <w:rPr>
          <w:rFonts w:hint="eastAsia" w:hAnsi="Times New Roman"/>
          <w:sz w:val="28"/>
        </w:rPr>
        <w:t>3、最后报价将作为磋商小组评定成交供应商的组成依据。</w:t>
      </w:r>
    </w:p>
    <w:p>
      <w:pPr>
        <w:snapToGrid w:val="0"/>
        <w:spacing w:line="300" w:lineRule="auto"/>
        <w:ind w:firstLine="562" w:firstLineChars="200"/>
        <w:rPr>
          <w:rFonts w:ascii="仿宋_GB2312" w:hAnsi="宋体" w:eastAsia="仿宋_GB2312"/>
          <w:b/>
          <w:sz w:val="28"/>
          <w:szCs w:val="28"/>
        </w:rPr>
      </w:pPr>
      <w:r>
        <w:rPr>
          <w:rFonts w:hint="eastAsia" w:ascii="仿宋_GB2312" w:hAnsi="宋体" w:eastAsia="仿宋_GB2312"/>
          <w:b/>
          <w:sz w:val="28"/>
          <w:szCs w:val="28"/>
        </w:rPr>
        <w:t>六</w:t>
      </w:r>
      <w:r>
        <w:rPr>
          <w:rFonts w:hint="eastAsia" w:ascii="仿宋_GB2312" w:eastAsia="仿宋_GB2312"/>
          <w:b/>
          <w:sz w:val="28"/>
          <w:szCs w:val="28"/>
          <w:lang w:val="zh-CN"/>
        </w:rPr>
        <w:t>、</w:t>
      </w:r>
      <w:r>
        <w:rPr>
          <w:rFonts w:hint="eastAsia" w:ascii="仿宋_GB2312" w:hAnsi="宋体" w:eastAsia="仿宋_GB2312"/>
          <w:b/>
          <w:sz w:val="28"/>
          <w:szCs w:val="28"/>
        </w:rPr>
        <w:t>保证金退还</w:t>
      </w:r>
    </w:p>
    <w:p>
      <w:pPr>
        <w:pStyle w:val="15"/>
        <w:shd w:val="clear" w:color="auto" w:fill="FFFFFF"/>
        <w:spacing w:before="0" w:beforeAutospacing="0" w:after="0" w:afterAutospacing="0" w:line="390" w:lineRule="atLeast"/>
        <w:ind w:firstLine="560" w:firstLineChars="200"/>
        <w:rPr>
          <w:rFonts w:ascii="仿宋_GB2312" w:eastAsia="仿宋_GB2312"/>
          <w:sz w:val="28"/>
          <w:szCs w:val="28"/>
        </w:rPr>
      </w:pPr>
      <w:r>
        <w:rPr>
          <w:rFonts w:hint="eastAsia" w:ascii="仿宋_GB2312" w:eastAsia="仿宋_GB2312"/>
          <w:sz w:val="28"/>
          <w:szCs w:val="28"/>
        </w:rPr>
        <w:t>未成交的供应商保证金在项目磋商活动完成后5个工作日内原额退还；成交供应商保证金在采购合同签订后5个工作日内原额退还。</w:t>
      </w:r>
    </w:p>
    <w:p>
      <w:pPr>
        <w:pStyle w:val="15"/>
        <w:shd w:val="clear" w:color="auto" w:fill="FFFFFF"/>
        <w:spacing w:before="0" w:beforeAutospacing="0" w:after="0" w:afterAutospacing="0" w:line="390" w:lineRule="atLeast"/>
        <w:rPr>
          <w:rFonts w:ascii="仿宋_GB2312" w:eastAsia="仿宋_GB2312"/>
          <w:sz w:val="28"/>
          <w:szCs w:val="28"/>
        </w:rPr>
      </w:pPr>
      <w:r>
        <w:rPr>
          <w:rFonts w:hint="eastAsia" w:ascii="仿宋_GB2312" w:eastAsia="仿宋_GB2312"/>
          <w:sz w:val="28"/>
          <w:szCs w:val="28"/>
        </w:rPr>
        <w:t>　　有下列情形之一的，保证金不予退还：</w:t>
      </w:r>
    </w:p>
    <w:p>
      <w:pPr>
        <w:pStyle w:val="15"/>
        <w:shd w:val="clear" w:color="auto" w:fill="FFFFFF"/>
        <w:spacing w:before="0" w:beforeAutospacing="0" w:after="0" w:afterAutospacing="0" w:line="390" w:lineRule="atLeast"/>
        <w:rPr>
          <w:rFonts w:ascii="仿宋_GB2312" w:eastAsia="仿宋_GB2312"/>
          <w:sz w:val="28"/>
          <w:szCs w:val="28"/>
        </w:rPr>
      </w:pPr>
      <w:r>
        <w:rPr>
          <w:rFonts w:hint="eastAsia" w:ascii="仿宋_GB2312" w:eastAsia="仿宋_GB2312"/>
          <w:sz w:val="28"/>
          <w:szCs w:val="28"/>
        </w:rPr>
        <w:t>　　（1）供应商在提交响应文件截止时间后撤回响应文件的；</w:t>
      </w:r>
    </w:p>
    <w:p>
      <w:pPr>
        <w:pStyle w:val="15"/>
        <w:shd w:val="clear" w:color="auto" w:fill="FFFFFF"/>
        <w:spacing w:before="0" w:beforeAutospacing="0" w:after="0" w:afterAutospacing="0" w:line="390" w:lineRule="atLeast"/>
        <w:rPr>
          <w:rFonts w:ascii="仿宋_GB2312" w:eastAsia="仿宋_GB2312"/>
          <w:sz w:val="28"/>
          <w:szCs w:val="28"/>
        </w:rPr>
      </w:pPr>
      <w:r>
        <w:rPr>
          <w:rFonts w:hint="eastAsia" w:ascii="仿宋_GB2312" w:eastAsia="仿宋_GB2312"/>
          <w:sz w:val="28"/>
          <w:szCs w:val="28"/>
        </w:rPr>
        <w:t>　　（2）供应商在响应文件中提供虚假材料的；</w:t>
      </w:r>
    </w:p>
    <w:p>
      <w:pPr>
        <w:pStyle w:val="15"/>
        <w:shd w:val="clear" w:color="auto" w:fill="FFFFFF"/>
        <w:spacing w:before="0" w:beforeAutospacing="0" w:after="0" w:afterAutospacing="0" w:line="390" w:lineRule="atLeast"/>
        <w:rPr>
          <w:rFonts w:ascii="仿宋_GB2312" w:eastAsia="仿宋_GB2312"/>
          <w:sz w:val="28"/>
          <w:szCs w:val="28"/>
        </w:rPr>
      </w:pPr>
      <w:r>
        <w:rPr>
          <w:rFonts w:hint="eastAsia" w:ascii="仿宋_GB2312" w:eastAsia="仿宋_GB2312"/>
          <w:sz w:val="28"/>
          <w:szCs w:val="28"/>
        </w:rPr>
        <w:t>　　（3）除因不可抗力或磋商文件认可的情形以外，成交供应商不与采购人签订合同的；</w:t>
      </w:r>
    </w:p>
    <w:p>
      <w:pPr>
        <w:pStyle w:val="15"/>
        <w:shd w:val="clear" w:color="auto" w:fill="FFFFFF"/>
        <w:spacing w:before="0" w:beforeAutospacing="0" w:after="0" w:afterAutospacing="0" w:line="390" w:lineRule="atLeast"/>
        <w:rPr>
          <w:rFonts w:ascii="仿宋_GB2312" w:eastAsia="仿宋_GB2312"/>
          <w:sz w:val="28"/>
          <w:szCs w:val="28"/>
        </w:rPr>
      </w:pPr>
      <w:r>
        <w:rPr>
          <w:rFonts w:hint="eastAsia" w:ascii="仿宋_GB2312" w:eastAsia="仿宋_GB2312"/>
          <w:sz w:val="28"/>
          <w:szCs w:val="28"/>
        </w:rPr>
        <w:t>　　（4）供应商与采购人、其他供应商或者采购代理机构恶意串通的；</w:t>
      </w:r>
    </w:p>
    <w:p>
      <w:pPr>
        <w:pStyle w:val="15"/>
        <w:shd w:val="clear" w:color="auto" w:fill="FFFFFF"/>
        <w:spacing w:before="0" w:beforeAutospacing="0" w:after="0" w:afterAutospacing="0" w:line="390" w:lineRule="atLeast"/>
        <w:rPr>
          <w:rFonts w:ascii="仿宋_GB2312" w:eastAsia="仿宋_GB2312"/>
          <w:sz w:val="28"/>
          <w:szCs w:val="28"/>
        </w:rPr>
      </w:pPr>
      <w:r>
        <w:rPr>
          <w:rFonts w:hint="eastAsia" w:ascii="仿宋_GB2312" w:eastAsia="仿宋_GB2312"/>
          <w:sz w:val="28"/>
          <w:szCs w:val="28"/>
        </w:rPr>
        <w:t>　　（5）磋商文件规定的其他情形。</w:t>
      </w:r>
    </w:p>
    <w:p>
      <w:pPr>
        <w:pStyle w:val="15"/>
        <w:shd w:val="clear" w:color="auto" w:fill="FFFFFF"/>
        <w:spacing w:before="0" w:beforeAutospacing="0" w:after="0" w:afterAutospacing="0" w:line="390" w:lineRule="atLeast"/>
        <w:ind w:firstLine="560" w:firstLineChars="200"/>
        <w:rPr>
          <w:rFonts w:ascii="仿宋_GB2312" w:eastAsia="仿宋_GB2312"/>
          <w:sz w:val="28"/>
          <w:szCs w:val="28"/>
        </w:rPr>
      </w:pPr>
      <w:r>
        <w:rPr>
          <w:rFonts w:hint="eastAsia" w:ascii="仿宋_GB2312" w:eastAsia="仿宋_GB2312"/>
          <w:sz w:val="28"/>
          <w:szCs w:val="28"/>
        </w:rPr>
        <w:t>已提交响应文件的供应商，在提交最后报价之前，可以根据磋商情况退出磋商。采购代理机构应当退还退出磋商的供应商的保证金。</w:t>
      </w:r>
    </w:p>
    <w:p>
      <w:pPr>
        <w:autoSpaceDE w:val="0"/>
        <w:autoSpaceDN w:val="0"/>
        <w:adjustRightInd w:val="0"/>
        <w:snapToGrid w:val="0"/>
        <w:spacing w:line="300" w:lineRule="auto"/>
        <w:ind w:right="210" w:firstLine="560"/>
        <w:contextualSpacing/>
        <w:rPr>
          <w:rFonts w:ascii="仿宋_GB2312" w:hAnsi="宋体" w:eastAsia="仿宋_GB2312"/>
          <w:sz w:val="28"/>
          <w:szCs w:val="28"/>
        </w:rPr>
      </w:pPr>
      <w:r>
        <w:rPr>
          <w:rFonts w:hint="eastAsia" w:ascii="仿宋_GB2312" w:eastAsia="仿宋_GB2312"/>
          <w:b/>
          <w:bCs/>
          <w:sz w:val="28"/>
          <w:szCs w:val="28"/>
        </w:rPr>
        <w:t>七、相关费用</w:t>
      </w:r>
    </w:p>
    <w:p>
      <w:pPr>
        <w:snapToGrid w:val="0"/>
        <w:spacing w:line="300" w:lineRule="auto"/>
        <w:ind w:firstLine="560" w:firstLineChars="200"/>
        <w:contextualSpacing/>
        <w:rPr>
          <w:rFonts w:ascii="仿宋_GB2312" w:hAnsi="宋体" w:eastAsia="仿宋_GB2312"/>
          <w:sz w:val="28"/>
          <w:szCs w:val="28"/>
        </w:rPr>
      </w:pPr>
      <w:r>
        <w:rPr>
          <w:rFonts w:hint="eastAsia" w:ascii="仿宋_GB2312" w:hAnsi="宋体" w:eastAsia="仿宋_GB2312"/>
          <w:sz w:val="28"/>
          <w:szCs w:val="28"/>
        </w:rPr>
        <w:t>1、供应商承担参与磋商可能发生的全部费用，采购代理机构在任何情况下均无义务和责任承担这些费用。</w:t>
      </w:r>
    </w:p>
    <w:p>
      <w:pPr>
        <w:snapToGrid w:val="0"/>
        <w:spacing w:line="300" w:lineRule="auto"/>
        <w:ind w:firstLine="560" w:firstLineChars="200"/>
        <w:contextualSpacing/>
        <w:rPr>
          <w:rFonts w:ascii="仿宋_GB2312" w:hAnsi="宋体" w:eastAsia="仿宋_GB2312"/>
          <w:sz w:val="28"/>
          <w:szCs w:val="28"/>
        </w:rPr>
      </w:pPr>
      <w:r>
        <w:rPr>
          <w:rFonts w:hint="eastAsia" w:ascii="仿宋_GB2312" w:hAnsi="宋体" w:eastAsia="仿宋_GB2312"/>
          <w:sz w:val="28"/>
          <w:szCs w:val="28"/>
        </w:rPr>
        <w:t>2、招标代理费按计价格[2002]1980号文标准收取</w:t>
      </w:r>
      <w:r>
        <w:rPr>
          <w:rFonts w:hint="eastAsia" w:ascii="仿宋_GB2312" w:hAnsi="宋体" w:eastAsia="仿宋_GB2312"/>
          <w:sz w:val="28"/>
          <w:szCs w:val="28"/>
          <w:lang w:eastAsia="zh-CN"/>
        </w:rPr>
        <w:t>（本项目代理费</w:t>
      </w:r>
      <w:r>
        <w:rPr>
          <w:rFonts w:hint="eastAsia" w:ascii="仿宋_GB2312" w:hAnsi="宋体" w:eastAsia="仿宋_GB2312"/>
          <w:sz w:val="28"/>
          <w:szCs w:val="28"/>
          <w:lang w:val="en-US" w:eastAsia="zh-CN"/>
        </w:rPr>
        <w:t>2000元</w:t>
      </w:r>
      <w:r>
        <w:rPr>
          <w:rFonts w:hint="eastAsia" w:ascii="仿宋_GB2312" w:hAnsi="宋体" w:eastAsia="仿宋_GB2312"/>
          <w:sz w:val="28"/>
          <w:szCs w:val="28"/>
          <w:lang w:eastAsia="zh-CN"/>
        </w:rPr>
        <w:t>）</w:t>
      </w:r>
      <w:r>
        <w:rPr>
          <w:rFonts w:hint="eastAsia" w:ascii="仿宋_GB2312" w:hAnsi="宋体" w:eastAsia="仿宋_GB2312"/>
          <w:sz w:val="28"/>
          <w:szCs w:val="28"/>
        </w:rPr>
        <w:t>；</w:t>
      </w:r>
      <w:r>
        <w:rPr>
          <w:rFonts w:hint="eastAsia" w:ascii="仿宋_GB2312" w:hAnsi="宋体" w:eastAsia="仿宋_GB2312"/>
          <w:sz w:val="28"/>
          <w:szCs w:val="28"/>
          <w:lang w:eastAsia="zh-CN"/>
        </w:rPr>
        <w:t>磋商</w:t>
      </w:r>
      <w:r>
        <w:rPr>
          <w:rFonts w:hint="eastAsia" w:ascii="仿宋_GB2312" w:hAnsi="宋体" w:eastAsia="仿宋_GB2312"/>
          <w:sz w:val="28"/>
          <w:szCs w:val="28"/>
        </w:rPr>
        <w:t>费用按南通市财政局通财购（2018）18号文件执行，供应商须综合考虑在磋商响应报价内。</w:t>
      </w:r>
    </w:p>
    <w:p>
      <w:pPr>
        <w:snapToGrid w:val="0"/>
        <w:spacing w:line="300" w:lineRule="auto"/>
        <w:ind w:firstLine="560" w:firstLineChars="200"/>
        <w:contextualSpacing/>
        <w:rPr>
          <w:rFonts w:ascii="仿宋_GB2312" w:hAnsi="宋体" w:eastAsia="仿宋_GB2312"/>
          <w:sz w:val="28"/>
          <w:szCs w:val="28"/>
        </w:rPr>
      </w:pPr>
      <w:r>
        <w:rPr>
          <w:rFonts w:hint="eastAsia" w:ascii="仿宋_GB2312" w:hAnsi="宋体" w:eastAsia="仿宋_GB2312"/>
          <w:sz w:val="28"/>
          <w:szCs w:val="28"/>
        </w:rPr>
        <w:t>招标代理费和</w:t>
      </w:r>
      <w:r>
        <w:rPr>
          <w:rFonts w:hint="eastAsia" w:ascii="仿宋_GB2312" w:hAnsi="宋体" w:eastAsia="仿宋_GB2312"/>
          <w:sz w:val="28"/>
          <w:szCs w:val="28"/>
          <w:lang w:eastAsia="zh-CN"/>
        </w:rPr>
        <w:t>磋商</w:t>
      </w:r>
      <w:r>
        <w:rPr>
          <w:rFonts w:hint="eastAsia" w:ascii="仿宋_GB2312" w:hAnsi="宋体" w:eastAsia="仿宋_GB2312"/>
          <w:sz w:val="28"/>
          <w:szCs w:val="28"/>
        </w:rPr>
        <w:t>费用由成交供应商在领取成交通知书时支付给代理机构。</w:t>
      </w:r>
    </w:p>
    <w:p>
      <w:pPr>
        <w:numPr>
          <w:ilvl w:val="0"/>
          <w:numId w:val="2"/>
        </w:numPr>
        <w:snapToGrid w:val="0"/>
        <w:spacing w:line="300" w:lineRule="auto"/>
        <w:ind w:firstLine="560" w:firstLineChars="200"/>
        <w:contextualSpacing/>
        <w:rPr>
          <w:rFonts w:ascii="仿宋_GB2312" w:hAnsi="宋体" w:eastAsia="仿宋_GB2312"/>
          <w:sz w:val="28"/>
          <w:szCs w:val="28"/>
        </w:rPr>
      </w:pPr>
      <w:r>
        <w:rPr>
          <w:rFonts w:hint="eastAsia" w:ascii="仿宋_GB2312" w:hAnsi="宋体" w:eastAsia="仿宋_GB2312"/>
          <w:sz w:val="28"/>
          <w:szCs w:val="28"/>
        </w:rPr>
        <w:t>磋商文件未列明，而竞磋供应商认为必需的费用也需列入报价。</w:t>
      </w:r>
    </w:p>
    <w:p>
      <w:pPr>
        <w:pStyle w:val="2"/>
        <w:ind w:firstLine="560" w:firstLineChars="200"/>
        <w:rPr>
          <w:rFonts w:ascii="仿宋_GB2312" w:hAnsi="宋体" w:eastAsia="仿宋_GB2312"/>
          <w:szCs w:val="28"/>
        </w:rPr>
      </w:pPr>
      <w:r>
        <w:rPr>
          <w:rFonts w:hint="eastAsia" w:ascii="仿宋_GB2312" w:hAnsi="宋体" w:eastAsia="仿宋_GB2312"/>
          <w:szCs w:val="28"/>
        </w:rPr>
        <w:t>4、本项目收取磋商文件工本费300元/份，售后不退。</w:t>
      </w:r>
    </w:p>
    <w:p>
      <w:pPr>
        <w:snapToGrid w:val="0"/>
        <w:spacing w:line="420" w:lineRule="exact"/>
        <w:ind w:firstLine="579" w:firstLineChars="206"/>
        <w:outlineLvl w:val="1"/>
        <w:rPr>
          <w:rFonts w:ascii="宋体" w:hAnsi="宋体"/>
          <w:bCs/>
          <w:sz w:val="24"/>
          <w:lang w:val="zh-CN"/>
        </w:rPr>
      </w:pPr>
      <w:r>
        <w:rPr>
          <w:rFonts w:hint="eastAsia" w:ascii="仿宋_GB2312" w:eastAsia="仿宋_GB2312"/>
          <w:b/>
          <w:bCs/>
          <w:sz w:val="28"/>
          <w:szCs w:val="28"/>
        </w:rPr>
        <w:t>八、付款方式</w:t>
      </w:r>
    </w:p>
    <w:p>
      <w:pPr>
        <w:snapToGrid w:val="0"/>
        <w:spacing w:line="300" w:lineRule="auto"/>
        <w:ind w:firstLine="560" w:firstLineChars="200"/>
        <w:contextualSpacing/>
        <w:rPr>
          <w:rFonts w:ascii="仿宋_GB2312" w:hAnsi="宋体" w:eastAsia="仿宋_GB2312"/>
          <w:sz w:val="28"/>
          <w:szCs w:val="28"/>
        </w:rPr>
      </w:pPr>
      <w:r>
        <w:rPr>
          <w:rFonts w:hint="eastAsia" w:ascii="仿宋_GB2312" w:hAnsi="宋体" w:eastAsia="仿宋_GB2312"/>
          <w:sz w:val="28"/>
          <w:szCs w:val="28"/>
        </w:rPr>
        <w:t>【特别提醒】付款方式不接受负偏离及任何意图改变付款方式的意图表达，否则作无效磋商处理。</w:t>
      </w:r>
    </w:p>
    <w:p>
      <w:pPr>
        <w:snapToGrid w:val="0"/>
        <w:spacing w:line="300" w:lineRule="auto"/>
        <w:ind w:firstLine="560" w:firstLineChars="200"/>
        <w:contextualSpacing/>
        <w:rPr>
          <w:rFonts w:ascii="仿宋_GB2312" w:hAnsi="宋体" w:eastAsia="仿宋_GB2312"/>
          <w:sz w:val="28"/>
          <w:szCs w:val="28"/>
        </w:rPr>
      </w:pPr>
      <w:r>
        <w:rPr>
          <w:rFonts w:hint="eastAsia" w:ascii="仿宋_GB2312" w:hAnsi="宋体" w:eastAsia="仿宋_GB2312"/>
          <w:sz w:val="28"/>
          <w:szCs w:val="28"/>
        </w:rPr>
        <w:t>1、</w:t>
      </w:r>
      <w:r>
        <w:rPr>
          <w:rFonts w:hint="eastAsia" w:ascii="仿宋_GB2312" w:hAnsi="宋体" w:eastAsia="仿宋_GB2312"/>
          <w:sz w:val="28"/>
          <w:szCs w:val="28"/>
          <w:lang w:val="zh-CN"/>
        </w:rPr>
        <w:t>付款方式：</w:t>
      </w:r>
      <w:r>
        <w:rPr>
          <w:rFonts w:hint="eastAsia" w:ascii="仿宋_GB2312" w:hAnsi="宋体" w:eastAsia="仿宋_GB2312"/>
          <w:sz w:val="28"/>
          <w:szCs w:val="28"/>
        </w:rPr>
        <w:t>项目完成，经验收合格后凭有效发票</w:t>
      </w:r>
      <w:r>
        <w:rPr>
          <w:rFonts w:hint="eastAsia" w:ascii="仿宋_GB2312" w:hAnsi="宋体" w:eastAsia="仿宋_GB2312"/>
          <w:sz w:val="28"/>
          <w:szCs w:val="28"/>
          <w:lang w:eastAsia="zh-CN"/>
        </w:rPr>
        <w:t>扣除质保金后</w:t>
      </w:r>
      <w:r>
        <w:rPr>
          <w:rFonts w:hint="eastAsia" w:ascii="仿宋_GB2312" w:hAnsi="宋体" w:eastAsia="仿宋_GB2312"/>
          <w:sz w:val="28"/>
          <w:szCs w:val="28"/>
        </w:rPr>
        <w:t>一次性支付款项。</w:t>
      </w:r>
    </w:p>
    <w:p>
      <w:pPr>
        <w:snapToGrid w:val="0"/>
        <w:spacing w:line="300" w:lineRule="auto"/>
        <w:ind w:firstLine="560" w:firstLineChars="200"/>
        <w:contextualSpacing/>
        <w:rPr>
          <w:rFonts w:ascii="仿宋_GB2312" w:hAnsi="宋体" w:eastAsia="仿宋_GB2312"/>
          <w:sz w:val="28"/>
          <w:szCs w:val="28"/>
          <w:lang w:val="zh-CN"/>
        </w:rPr>
      </w:pPr>
      <w:r>
        <w:rPr>
          <w:rFonts w:hint="eastAsia" w:ascii="仿宋_GB2312" w:hAnsi="宋体" w:eastAsia="仿宋_GB2312"/>
          <w:sz w:val="28"/>
          <w:szCs w:val="28"/>
        </w:rPr>
        <w:t>2</w:t>
      </w:r>
      <w:r>
        <w:rPr>
          <w:rFonts w:hint="eastAsia" w:ascii="仿宋_GB2312" w:hAnsi="宋体" w:eastAsia="仿宋_GB2312"/>
          <w:sz w:val="28"/>
          <w:szCs w:val="28"/>
          <w:lang w:val="zh-CN"/>
        </w:rPr>
        <w:t>、最终以双方签订的采购合同内确定的付款结算条款为准。</w:t>
      </w:r>
    </w:p>
    <w:p>
      <w:pPr>
        <w:autoSpaceDE w:val="0"/>
        <w:autoSpaceDN w:val="0"/>
        <w:adjustRightInd w:val="0"/>
        <w:snapToGrid w:val="0"/>
        <w:spacing w:line="300" w:lineRule="auto"/>
        <w:outlineLvl w:val="0"/>
        <w:rPr>
          <w:rFonts w:ascii="仿宋_GB2312" w:eastAsia="仿宋_GB2312"/>
          <w:b/>
          <w:bCs/>
          <w:sz w:val="36"/>
          <w:szCs w:val="36"/>
          <w:lang w:val="zh-CN"/>
        </w:rPr>
      </w:pPr>
    </w:p>
    <w:p>
      <w:pPr>
        <w:autoSpaceDE w:val="0"/>
        <w:autoSpaceDN w:val="0"/>
        <w:adjustRightInd w:val="0"/>
        <w:snapToGrid w:val="0"/>
        <w:spacing w:line="300" w:lineRule="auto"/>
        <w:jc w:val="center"/>
        <w:outlineLvl w:val="0"/>
        <w:rPr>
          <w:rFonts w:ascii="仿宋_GB2312" w:eastAsia="仿宋_GB2312"/>
          <w:b/>
          <w:bCs/>
          <w:sz w:val="36"/>
          <w:szCs w:val="36"/>
          <w:lang w:val="zh-CN"/>
        </w:rPr>
        <w:sectPr>
          <w:pgSz w:w="11907" w:h="16839"/>
          <w:pgMar w:top="1440" w:right="726" w:bottom="873" w:left="1236" w:header="720" w:footer="720" w:gutter="0"/>
          <w:cols w:space="720" w:num="1"/>
          <w:docGrid w:linePitch="286" w:charSpace="0"/>
        </w:sectPr>
      </w:pPr>
    </w:p>
    <w:p>
      <w:pPr>
        <w:autoSpaceDE w:val="0"/>
        <w:autoSpaceDN w:val="0"/>
        <w:adjustRightInd w:val="0"/>
        <w:snapToGrid w:val="0"/>
        <w:spacing w:line="300" w:lineRule="auto"/>
        <w:jc w:val="center"/>
        <w:outlineLvl w:val="0"/>
        <w:rPr>
          <w:rFonts w:ascii="仿宋_GB2312" w:eastAsia="仿宋_GB2312"/>
          <w:b/>
          <w:bCs/>
          <w:szCs w:val="21"/>
          <w:lang w:val="zh-CN"/>
        </w:rPr>
      </w:pPr>
      <w:r>
        <w:rPr>
          <w:rFonts w:hint="eastAsia" w:ascii="仿宋_GB2312" w:eastAsia="仿宋_GB2312"/>
          <w:b/>
          <w:bCs/>
          <w:sz w:val="36"/>
          <w:szCs w:val="36"/>
          <w:lang w:val="zh-CN"/>
        </w:rPr>
        <w:t>第三部分 项目需求</w:t>
      </w:r>
    </w:p>
    <w:p>
      <w:pPr>
        <w:snapToGrid w:val="0"/>
        <w:spacing w:line="300" w:lineRule="auto"/>
        <w:ind w:firstLine="562" w:firstLineChars="200"/>
        <w:contextualSpacing/>
        <w:rPr>
          <w:rFonts w:ascii="仿宋_GB2312" w:hAnsi="宋体" w:eastAsia="仿宋_GB2312"/>
          <w:b/>
          <w:sz w:val="28"/>
          <w:szCs w:val="28"/>
        </w:rPr>
      </w:pPr>
    </w:p>
    <w:p>
      <w:pPr>
        <w:pStyle w:val="36"/>
        <w:snapToGrid w:val="0"/>
        <w:spacing w:line="300" w:lineRule="auto"/>
        <w:ind w:firstLine="562" w:firstLineChars="200"/>
        <w:rPr>
          <w:sz w:val="28"/>
        </w:rPr>
      </w:pPr>
      <w:r>
        <w:rPr>
          <w:rFonts w:hint="eastAsia" w:cs="宋体"/>
          <w:b/>
          <w:kern w:val="0"/>
          <w:sz w:val="28"/>
          <w:lang w:val="zh-CN"/>
        </w:rPr>
        <w:t>请供应商在磋商报名前和制作响应文件时仔细研究项目需求说明。</w:t>
      </w:r>
      <w:r>
        <w:rPr>
          <w:rFonts w:hint="eastAsia" w:cs="宋体"/>
          <w:kern w:val="0"/>
          <w:sz w:val="28"/>
          <w:lang w:val="zh-CN"/>
        </w:rPr>
        <w:t>供应商不能简单照搬照抄采购单位项目需求说明中的服务、商务要求，必须作实事求是的响应。如照搬照抄项目需求说明中的技术、商务要求的，成交后供应商在同采购人签订合同和履约环节中不得提出异议，一切后果和损失由成交供应商承担。如供应商提供的服务同采购人提出的项目需求说明中的技术、商务要求不同的，必须在《商</w:t>
      </w:r>
      <w:r>
        <w:rPr>
          <w:rFonts w:hint="eastAsia"/>
          <w:sz w:val="28"/>
        </w:rPr>
        <w:t>务部分正负偏离表》和《技术部分正负偏离表》上明示，如不明示的视同完全响应</w:t>
      </w:r>
      <w:r>
        <w:rPr>
          <w:rFonts w:hint="eastAsia" w:cs="宋体"/>
          <w:kern w:val="0"/>
          <w:sz w:val="28"/>
          <w:lang w:val="zh-CN"/>
        </w:rPr>
        <w:t>。</w:t>
      </w:r>
    </w:p>
    <w:p>
      <w:pPr>
        <w:snapToGrid w:val="0"/>
        <w:spacing w:line="420" w:lineRule="exact"/>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一、南通市产业技术研究院</w:t>
      </w:r>
      <w:r>
        <w:rPr>
          <w:rFonts w:hint="eastAsia" w:ascii="仿宋_GB2312" w:hAnsi="宋体" w:eastAsia="仿宋_GB2312" w:cs="宋体"/>
          <w:kern w:val="0"/>
          <w:sz w:val="28"/>
          <w:szCs w:val="28"/>
          <w:lang w:eastAsia="zh-CN"/>
        </w:rPr>
        <w:t>停车场收费管理系统</w:t>
      </w:r>
      <w:r>
        <w:rPr>
          <w:rFonts w:hint="eastAsia" w:ascii="仿宋_GB2312" w:hAnsi="宋体" w:eastAsia="仿宋_GB2312" w:cs="宋体"/>
          <w:kern w:val="0"/>
          <w:sz w:val="28"/>
          <w:szCs w:val="28"/>
          <w:lang w:val="zh-CN"/>
        </w:rPr>
        <w:t>，其主要需求为：</w:t>
      </w:r>
    </w:p>
    <w:tbl>
      <w:tblPr>
        <w:tblStyle w:val="16"/>
        <w:tblW w:w="9965" w:type="dxa"/>
        <w:tblInd w:w="0" w:type="dxa"/>
        <w:tblLayout w:type="autofit"/>
        <w:tblCellMar>
          <w:top w:w="0" w:type="dxa"/>
          <w:left w:w="0" w:type="dxa"/>
          <w:bottom w:w="0" w:type="dxa"/>
          <w:right w:w="0" w:type="dxa"/>
        </w:tblCellMar>
      </w:tblPr>
      <w:tblGrid>
        <w:gridCol w:w="616"/>
        <w:gridCol w:w="2710"/>
        <w:gridCol w:w="800"/>
        <w:gridCol w:w="824"/>
        <w:gridCol w:w="5015"/>
      </w:tblGrid>
      <w:tr>
        <w:tblPrEx>
          <w:tblCellMar>
            <w:top w:w="0" w:type="dxa"/>
            <w:left w:w="0" w:type="dxa"/>
            <w:bottom w:w="0" w:type="dxa"/>
            <w:right w:w="0" w:type="dxa"/>
          </w:tblCellMar>
        </w:tblPrEx>
        <w:trPr>
          <w:trHeight w:val="498" w:hRule="atLeast"/>
        </w:trPr>
        <w:tc>
          <w:tcPr>
            <w:tcW w:w="703" w:type="dxa"/>
            <w:tcBorders>
              <w:top w:val="single" w:color="000000" w:sz="4" w:space="0"/>
              <w:left w:val="single" w:color="000000" w:sz="4" w:space="0"/>
              <w:bottom w:val="single" w:color="000000" w:sz="4" w:space="0"/>
              <w:right w:val="single" w:color="000000" w:sz="4" w:space="0"/>
            </w:tcBorders>
            <w:shd w:val="clear" w:color="auto" w:fill="EEECE1"/>
            <w:noWrap/>
            <w:tcMar>
              <w:top w:w="10" w:type="dxa"/>
              <w:left w:w="10" w:type="dxa"/>
              <w:right w:w="10"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序号</w:t>
            </w:r>
          </w:p>
        </w:tc>
        <w:tc>
          <w:tcPr>
            <w:tcW w:w="2944" w:type="dxa"/>
            <w:tcBorders>
              <w:top w:val="single" w:color="000000" w:sz="4" w:space="0"/>
              <w:left w:val="single" w:color="000000" w:sz="4" w:space="0"/>
              <w:bottom w:val="single" w:color="000000" w:sz="4" w:space="0"/>
              <w:right w:val="single" w:color="000000" w:sz="4" w:space="0"/>
            </w:tcBorders>
            <w:shd w:val="clear" w:color="auto" w:fill="EEECE1"/>
            <w:noWrap/>
            <w:tcMar>
              <w:top w:w="10" w:type="dxa"/>
              <w:left w:w="10" w:type="dxa"/>
              <w:right w:w="10"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项目</w:t>
            </w:r>
          </w:p>
        </w:tc>
        <w:tc>
          <w:tcPr>
            <w:tcW w:w="913" w:type="dxa"/>
            <w:tcBorders>
              <w:top w:val="single" w:color="000000" w:sz="4" w:space="0"/>
              <w:left w:val="single" w:color="000000" w:sz="4" w:space="0"/>
              <w:bottom w:val="single" w:color="000000" w:sz="4" w:space="0"/>
              <w:right w:val="single" w:color="000000" w:sz="4" w:space="0"/>
            </w:tcBorders>
            <w:shd w:val="clear" w:color="auto" w:fill="EEECE1"/>
            <w:noWrap/>
            <w:tcMar>
              <w:top w:w="10" w:type="dxa"/>
              <w:left w:w="10" w:type="dxa"/>
              <w:right w:w="10"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数量</w:t>
            </w:r>
          </w:p>
        </w:tc>
        <w:tc>
          <w:tcPr>
            <w:tcW w:w="941" w:type="dxa"/>
            <w:tcBorders>
              <w:top w:val="single" w:color="000000" w:sz="4" w:space="0"/>
              <w:left w:val="single" w:color="000000" w:sz="4" w:space="0"/>
              <w:bottom w:val="single" w:color="000000" w:sz="4" w:space="0"/>
              <w:right w:val="single" w:color="000000" w:sz="4" w:space="0"/>
            </w:tcBorders>
            <w:shd w:val="clear" w:color="auto" w:fill="EEECE1"/>
            <w:noWrap/>
            <w:tcMar>
              <w:top w:w="10" w:type="dxa"/>
              <w:left w:w="10" w:type="dxa"/>
              <w:right w:w="10"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单位</w:t>
            </w:r>
          </w:p>
        </w:tc>
        <w:tc>
          <w:tcPr>
            <w:tcW w:w="4464" w:type="dxa"/>
            <w:tcBorders>
              <w:top w:val="single" w:color="000000" w:sz="4" w:space="0"/>
              <w:left w:val="single" w:color="000000" w:sz="4" w:space="0"/>
              <w:bottom w:val="single" w:color="000000" w:sz="4" w:space="0"/>
              <w:right w:val="single" w:color="000000" w:sz="4" w:space="0"/>
            </w:tcBorders>
            <w:shd w:val="clear" w:color="auto" w:fill="EEECE1"/>
            <w:noWrap/>
            <w:tcMar>
              <w:top w:w="10" w:type="dxa"/>
              <w:left w:w="10" w:type="dxa"/>
              <w:right w:w="10"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备注</w:t>
            </w:r>
          </w:p>
        </w:tc>
      </w:tr>
      <w:tr>
        <w:tblPrEx>
          <w:tblCellMar>
            <w:top w:w="0" w:type="dxa"/>
            <w:left w:w="0" w:type="dxa"/>
            <w:bottom w:w="0" w:type="dxa"/>
            <w:right w:w="0"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道闸（延迟不高于1秒）</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套</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东门一进一出2台；南门出口2台；隔离区2台</w:t>
            </w:r>
          </w:p>
        </w:tc>
      </w:tr>
      <w:tr>
        <w:tblPrEx>
          <w:tblCellMar>
            <w:top w:w="0" w:type="dxa"/>
            <w:left w:w="0" w:type="dxa"/>
            <w:bottom w:w="0" w:type="dxa"/>
            <w:right w:w="0"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独立摄像头（含立柱）（防水）</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套</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地下车库入口</w:t>
            </w:r>
          </w:p>
        </w:tc>
      </w:tr>
      <w:tr>
        <w:tblPrEx>
          <w:tblCellMar>
            <w:top w:w="0" w:type="dxa"/>
            <w:left w:w="0" w:type="dxa"/>
            <w:bottom w:w="0" w:type="dxa"/>
            <w:right w:w="0"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显示屏（  防水</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2大2小</w:t>
            </w:r>
            <w:r>
              <w:rPr>
                <w:rFonts w:hint="eastAsia" w:ascii="宋体" w:hAnsi="宋体" w:cs="宋体"/>
                <w:color w:val="000000"/>
                <w:kern w:val="0"/>
                <w:sz w:val="22"/>
                <w:szCs w:val="22"/>
              </w:rPr>
              <w:t>）</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4</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套</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default" w:ascii="宋体" w:hAnsi="宋体" w:eastAsia="宋体" w:cs="宋体"/>
                <w:color w:val="000000"/>
                <w:sz w:val="22"/>
                <w:szCs w:val="22"/>
                <w:lang w:val="en-US" w:eastAsia="zh-CN"/>
              </w:rPr>
            </w:pPr>
            <w:r>
              <w:rPr>
                <w:rFonts w:hint="eastAsia" w:ascii="宋体" w:hAnsi="宋体" w:cs="宋体"/>
                <w:color w:val="000000"/>
                <w:kern w:val="0"/>
                <w:sz w:val="22"/>
                <w:szCs w:val="22"/>
              </w:rPr>
              <w:t>两个地下车库入口</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小</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两个园区入口（大）</w:t>
            </w:r>
          </w:p>
        </w:tc>
      </w:tr>
      <w:tr>
        <w:tblPrEx>
          <w:tblCellMar>
            <w:top w:w="0" w:type="dxa"/>
            <w:left w:w="0" w:type="dxa"/>
            <w:bottom w:w="0" w:type="dxa"/>
            <w:right w:w="0"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光纤、收发器</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组</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南门新增出口/东门新增入口</w:t>
            </w:r>
          </w:p>
        </w:tc>
      </w:tr>
      <w:tr>
        <w:tblPrEx>
          <w:tblCellMar>
            <w:top w:w="0" w:type="dxa"/>
            <w:left w:w="0" w:type="dxa"/>
            <w:bottom w:w="0" w:type="dxa"/>
            <w:right w:w="0"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交换机（千兆8口）</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3</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台</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新增道闸</w:t>
            </w:r>
          </w:p>
        </w:tc>
      </w:tr>
      <w:tr>
        <w:tblPrEx>
          <w:tblCellMar>
            <w:top w:w="0" w:type="dxa"/>
            <w:left w:w="0" w:type="dxa"/>
            <w:bottom w:w="0" w:type="dxa"/>
            <w:right w:w="0"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减速带</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100</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米</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道闸口减速</w:t>
            </w:r>
          </w:p>
        </w:tc>
      </w:tr>
      <w:tr>
        <w:tblPrEx>
          <w:tblCellMar>
            <w:top w:w="0" w:type="dxa"/>
            <w:left w:w="0" w:type="dxa"/>
            <w:bottom w:w="0" w:type="dxa"/>
            <w:right w:w="0"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隔离栏</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24</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米</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8</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地面标线、箭头</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500</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米</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收费公示牌</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套</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收费出入口提示</w:t>
            </w:r>
          </w:p>
        </w:tc>
      </w:tr>
      <w:tr>
        <w:tblPrEx>
          <w:tblCellMar>
            <w:top w:w="0" w:type="dxa"/>
            <w:left w:w="0" w:type="dxa"/>
            <w:bottom w:w="0" w:type="dxa"/>
            <w:right w:w="0"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指示说明</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批</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含缴费、进出口提示等动线提示（按审批要求和园区实际）</w:t>
            </w:r>
          </w:p>
        </w:tc>
      </w:tr>
      <w:tr>
        <w:tblPrEx>
          <w:tblCellMar>
            <w:top w:w="0" w:type="dxa"/>
            <w:left w:w="0" w:type="dxa"/>
            <w:bottom w:w="0" w:type="dxa"/>
            <w:right w:w="0"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11</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施工辅材（网线、电线等）</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批</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12</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ascii="宋体" w:hAnsi="宋体" w:cs="宋体"/>
                <w:color w:val="auto"/>
                <w:sz w:val="22"/>
                <w:szCs w:val="22"/>
              </w:rPr>
            </w:pPr>
            <w:r>
              <w:rPr>
                <w:rFonts w:hint="eastAsia" w:ascii="宋体" w:hAnsi="宋体" w:cs="宋体"/>
                <w:color w:val="auto"/>
                <w:kern w:val="0"/>
                <w:sz w:val="22"/>
                <w:szCs w:val="22"/>
              </w:rPr>
              <w:t>机柜</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台</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ascii="宋体" w:hAnsi="宋体" w:cs="宋体"/>
                <w:color w:val="auto"/>
                <w:sz w:val="22"/>
                <w:szCs w:val="22"/>
              </w:rPr>
            </w:pPr>
            <w:r>
              <w:rPr>
                <w:rFonts w:hint="eastAsia" w:ascii="宋体" w:hAnsi="宋体" w:cs="宋体"/>
                <w:color w:val="auto"/>
                <w:kern w:val="0"/>
                <w:sz w:val="22"/>
                <w:szCs w:val="22"/>
              </w:rPr>
              <w:t>无人收费出口安装电脑用</w:t>
            </w:r>
          </w:p>
        </w:tc>
      </w:tr>
      <w:tr>
        <w:tblPrEx>
          <w:tblCellMar>
            <w:top w:w="0" w:type="dxa"/>
            <w:left w:w="0" w:type="dxa"/>
            <w:bottom w:w="0" w:type="dxa"/>
            <w:right w:w="0"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13</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ascii="宋体" w:hAnsi="宋体" w:cs="宋体"/>
                <w:color w:val="auto"/>
                <w:sz w:val="22"/>
                <w:szCs w:val="22"/>
              </w:rPr>
            </w:pPr>
            <w:r>
              <w:rPr>
                <w:rFonts w:hint="eastAsia" w:ascii="宋体" w:hAnsi="宋体" w:cs="宋体"/>
                <w:color w:val="auto"/>
                <w:kern w:val="0"/>
                <w:sz w:val="22"/>
                <w:szCs w:val="22"/>
              </w:rPr>
              <w:t>安全岛（3000*600*150）</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1</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个</w:t>
            </w:r>
          </w:p>
        </w:tc>
        <w:tc>
          <w:tcPr>
            <w:tcW w:w="4464" w:type="dxa"/>
            <w:vMerge w:val="restart"/>
            <w:tcBorders>
              <w:top w:val="single" w:color="000000" w:sz="4" w:space="0"/>
              <w:left w:val="single" w:color="000000" w:sz="4" w:space="0"/>
              <w:right w:val="single" w:color="000000" w:sz="4" w:space="0"/>
            </w:tcBorders>
            <w:noWrap/>
            <w:tcMar>
              <w:top w:w="10" w:type="dxa"/>
              <w:left w:w="10" w:type="dxa"/>
              <w:right w:w="10" w:type="dxa"/>
            </w:tcMar>
            <w:vAlign w:val="center"/>
          </w:tcPr>
          <w:p>
            <w:pPr>
              <w:rPr>
                <w:rFonts w:ascii="宋体" w:hAnsi="宋体" w:cs="宋体"/>
                <w:color w:val="auto"/>
                <w:sz w:val="22"/>
                <w:szCs w:val="22"/>
              </w:rPr>
            </w:pPr>
            <w:r>
              <w:rPr>
                <w:rFonts w:hint="eastAsia" w:ascii="宋体" w:hAnsi="宋体" w:cs="宋体"/>
                <w:color w:val="auto"/>
                <w:kern w:val="0"/>
                <w:sz w:val="22"/>
                <w:szCs w:val="22"/>
              </w:rPr>
              <w:t>按审批要求和园区实际</w:t>
            </w:r>
          </w:p>
        </w:tc>
      </w:tr>
      <w:tr>
        <w:tblPrEx>
          <w:tblCellMar>
            <w:top w:w="0" w:type="dxa"/>
            <w:left w:w="0" w:type="dxa"/>
            <w:bottom w:w="0" w:type="dxa"/>
            <w:right w:w="0"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14</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ascii="宋体" w:hAnsi="宋体" w:cs="宋体"/>
                <w:color w:val="auto"/>
                <w:sz w:val="22"/>
                <w:szCs w:val="22"/>
              </w:rPr>
            </w:pPr>
            <w:r>
              <w:rPr>
                <w:rFonts w:hint="eastAsia" w:ascii="宋体" w:hAnsi="宋体" w:cs="宋体"/>
                <w:color w:val="auto"/>
                <w:kern w:val="0"/>
                <w:sz w:val="22"/>
                <w:szCs w:val="22"/>
              </w:rPr>
              <w:t>安全岛（1000*600*150）</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2</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个</w:t>
            </w:r>
          </w:p>
        </w:tc>
        <w:tc>
          <w:tcPr>
            <w:tcW w:w="4464" w:type="dxa"/>
            <w:vMerge w:val="continue"/>
            <w:tcBorders>
              <w:left w:val="single" w:color="000000" w:sz="4" w:space="0"/>
              <w:right w:val="single" w:color="000000" w:sz="4" w:space="0"/>
            </w:tcBorders>
            <w:noWrap/>
            <w:tcMar>
              <w:top w:w="10" w:type="dxa"/>
              <w:left w:w="10" w:type="dxa"/>
              <w:right w:w="10" w:type="dxa"/>
            </w:tcMar>
            <w:vAlign w:val="center"/>
          </w:tcPr>
          <w:p>
            <w:pPr>
              <w:rPr>
                <w:rFonts w:ascii="宋体" w:hAnsi="宋体" w:cs="宋体"/>
                <w:color w:val="auto"/>
                <w:sz w:val="22"/>
                <w:szCs w:val="22"/>
              </w:rPr>
            </w:pPr>
          </w:p>
        </w:tc>
      </w:tr>
      <w:tr>
        <w:tblPrEx>
          <w:tblCellMar>
            <w:top w:w="0" w:type="dxa"/>
            <w:left w:w="0" w:type="dxa"/>
            <w:bottom w:w="0" w:type="dxa"/>
            <w:right w:w="0"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15</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ascii="宋体" w:hAnsi="宋体" w:cs="宋体"/>
                <w:color w:val="auto"/>
                <w:sz w:val="22"/>
                <w:szCs w:val="22"/>
              </w:rPr>
            </w:pPr>
            <w:r>
              <w:rPr>
                <w:rFonts w:hint="eastAsia" w:ascii="宋体" w:hAnsi="宋体" w:cs="宋体"/>
                <w:color w:val="auto"/>
                <w:kern w:val="0"/>
                <w:sz w:val="22"/>
                <w:szCs w:val="22"/>
              </w:rPr>
              <w:t>安全岛（600*600*150）</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3</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个</w:t>
            </w:r>
          </w:p>
        </w:tc>
        <w:tc>
          <w:tcPr>
            <w:tcW w:w="4464" w:type="dxa"/>
            <w:vMerge w:val="continue"/>
            <w:tcBorders>
              <w:left w:val="single" w:color="000000" w:sz="4" w:space="0"/>
              <w:bottom w:val="single" w:color="000000" w:sz="4" w:space="0"/>
              <w:right w:val="single" w:color="000000" w:sz="4" w:space="0"/>
            </w:tcBorders>
            <w:noWrap/>
            <w:tcMar>
              <w:top w:w="10" w:type="dxa"/>
              <w:left w:w="10" w:type="dxa"/>
              <w:right w:w="10" w:type="dxa"/>
            </w:tcMar>
            <w:vAlign w:val="center"/>
          </w:tcPr>
          <w:p>
            <w:pPr>
              <w:rPr>
                <w:rFonts w:ascii="宋体" w:hAnsi="宋体" w:cs="宋体"/>
                <w:color w:val="auto"/>
                <w:sz w:val="22"/>
                <w:szCs w:val="22"/>
              </w:rPr>
            </w:pPr>
          </w:p>
        </w:tc>
      </w:tr>
      <w:tr>
        <w:tblPrEx>
          <w:tblCellMar>
            <w:top w:w="0" w:type="dxa"/>
            <w:left w:w="0" w:type="dxa"/>
            <w:bottom w:w="0" w:type="dxa"/>
            <w:right w:w="0"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16</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ascii="宋体" w:hAnsi="宋体" w:cs="宋体"/>
                <w:color w:val="auto"/>
                <w:sz w:val="22"/>
                <w:szCs w:val="22"/>
              </w:rPr>
            </w:pPr>
            <w:r>
              <w:rPr>
                <w:rFonts w:hint="eastAsia" w:ascii="宋体" w:hAnsi="宋体" w:cs="宋体"/>
                <w:color w:val="auto"/>
                <w:kern w:val="0"/>
                <w:sz w:val="22"/>
                <w:szCs w:val="22"/>
              </w:rPr>
              <w:t>施工费</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1</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auto"/>
                <w:sz w:val="22"/>
                <w:szCs w:val="22"/>
              </w:rPr>
            </w:pPr>
            <w:r>
              <w:rPr>
                <w:rFonts w:hint="eastAsia" w:ascii="宋体" w:hAnsi="宋体" w:cs="宋体"/>
                <w:color w:val="auto"/>
                <w:kern w:val="0"/>
                <w:sz w:val="22"/>
                <w:szCs w:val="22"/>
              </w:rPr>
              <w:t>批</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ascii="宋体" w:hAnsi="宋体" w:cs="宋体"/>
                <w:color w:val="auto"/>
                <w:sz w:val="22"/>
                <w:szCs w:val="22"/>
              </w:rPr>
            </w:pPr>
            <w:r>
              <w:rPr>
                <w:rFonts w:hint="eastAsia" w:ascii="宋体" w:hAnsi="宋体" w:cs="宋体"/>
                <w:color w:val="auto"/>
                <w:kern w:val="0"/>
                <w:sz w:val="22"/>
                <w:szCs w:val="22"/>
              </w:rPr>
              <w:t>含迁移五台道闸费用</w:t>
            </w:r>
          </w:p>
        </w:tc>
      </w:tr>
      <w:tr>
        <w:tblPrEx>
          <w:tblCellMar>
            <w:top w:w="0" w:type="dxa"/>
            <w:left w:w="0" w:type="dxa"/>
            <w:bottom w:w="0" w:type="dxa"/>
            <w:right w:w="0" w:type="dxa"/>
          </w:tblCellMar>
        </w:tblPrEx>
        <w:trPr>
          <w:trHeight w:val="280" w:hRule="atLeast"/>
        </w:trPr>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17</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ascii="宋体" w:hAnsi="宋体" w:cs="宋体"/>
                <w:color w:val="auto"/>
                <w:kern w:val="0"/>
                <w:sz w:val="22"/>
                <w:szCs w:val="22"/>
              </w:rPr>
            </w:pPr>
            <w:r>
              <w:rPr>
                <w:rFonts w:hint="eastAsia" w:ascii="宋体" w:hAnsi="宋体" w:cs="宋体"/>
                <w:color w:val="auto"/>
                <w:kern w:val="0"/>
                <w:sz w:val="22"/>
                <w:szCs w:val="22"/>
              </w:rPr>
              <w:t>收费系统</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auto"/>
                <w:kern w:val="0"/>
                <w:sz w:val="22"/>
                <w:szCs w:val="22"/>
              </w:rPr>
            </w:pPr>
            <w:r>
              <w:rPr>
                <w:rFonts w:hint="eastAsia" w:ascii="宋体" w:hAnsi="宋体" w:cs="宋体"/>
                <w:color w:val="auto"/>
                <w:kern w:val="0"/>
                <w:sz w:val="22"/>
                <w:szCs w:val="22"/>
              </w:rPr>
              <w:t>1</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auto"/>
                <w:kern w:val="0"/>
                <w:sz w:val="22"/>
                <w:szCs w:val="22"/>
              </w:rPr>
            </w:pPr>
            <w:r>
              <w:rPr>
                <w:rFonts w:hint="eastAsia" w:ascii="宋体" w:hAnsi="宋体" w:cs="宋体"/>
                <w:color w:val="auto"/>
                <w:kern w:val="0"/>
                <w:sz w:val="22"/>
                <w:szCs w:val="22"/>
              </w:rPr>
              <w:t>件</w:t>
            </w:r>
          </w:p>
        </w:tc>
        <w:tc>
          <w:tcPr>
            <w:tcW w:w="0" w:type="auto"/>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ascii="宋体" w:hAnsi="宋体" w:cs="宋体"/>
                <w:color w:val="auto"/>
                <w:kern w:val="0"/>
                <w:sz w:val="22"/>
                <w:szCs w:val="22"/>
              </w:rPr>
            </w:pPr>
            <w:r>
              <w:rPr>
                <w:rFonts w:hint="eastAsia" w:ascii="宋体" w:hAnsi="宋体" w:cs="宋体"/>
                <w:color w:val="auto"/>
                <w:kern w:val="0"/>
                <w:sz w:val="22"/>
                <w:szCs w:val="22"/>
              </w:rPr>
              <w:t>含网络支付系统</w:t>
            </w:r>
          </w:p>
        </w:tc>
      </w:tr>
    </w:tbl>
    <w:p>
      <w:pPr>
        <w:numPr>
          <w:ilvl w:val="0"/>
          <w:numId w:val="3"/>
        </w:numPr>
        <w:snapToGrid w:val="0"/>
        <w:spacing w:line="420" w:lineRule="exact"/>
        <w:ind w:firstLine="560" w:firstLineChars="200"/>
        <w:rPr>
          <w:rFonts w:ascii="仿宋_GB2312" w:hAnsi="宋体" w:eastAsia="仿宋_GB2312" w:cs="宋体"/>
          <w:kern w:val="0"/>
          <w:sz w:val="28"/>
          <w:szCs w:val="28"/>
          <w:lang w:val="zh-CN"/>
        </w:rPr>
      </w:pPr>
      <w:r>
        <w:rPr>
          <w:rFonts w:hint="eastAsia" w:ascii="仿宋_GB2312" w:hAnsi="宋体" w:eastAsia="仿宋_GB2312" w:cs="宋体"/>
          <w:kern w:val="0"/>
          <w:sz w:val="28"/>
          <w:szCs w:val="28"/>
        </w:rPr>
        <w:t>其他</w:t>
      </w:r>
    </w:p>
    <w:p>
      <w:pPr>
        <w:snapToGrid w:val="0"/>
        <w:spacing w:line="420" w:lineRule="exact"/>
        <w:ind w:firstLine="560" w:firstLineChars="200"/>
      </w:pPr>
      <w:r>
        <w:rPr>
          <w:rFonts w:hint="eastAsia" w:ascii="仿宋_GB2312" w:hAnsi="宋体" w:eastAsia="仿宋_GB2312" w:cs="宋体"/>
          <w:kern w:val="0"/>
          <w:sz w:val="28"/>
          <w:szCs w:val="28"/>
        </w:rPr>
        <w:t>1.工期：15日历天</w:t>
      </w:r>
      <w:r>
        <w:rPr>
          <w:rFonts w:hint="eastAsia" w:ascii="仿宋_GB2312" w:hAnsi="宋体" w:eastAsia="仿宋_GB2312" w:cs="宋体"/>
          <w:kern w:val="0"/>
          <w:sz w:val="28"/>
          <w:szCs w:val="28"/>
          <w:lang w:val="zh-CN"/>
        </w:rPr>
        <w:t>。具体从签订服务合同之日起算。</w:t>
      </w:r>
    </w:p>
    <w:p>
      <w:pPr>
        <w:pStyle w:val="2"/>
        <w:ind w:firstLine="560" w:firstLineChars="200"/>
        <w:rPr>
          <w:rFonts w:ascii="仿宋_GB2312" w:hAnsi="宋体" w:eastAsia="仿宋_GB2312" w:cs="宋体"/>
          <w:b/>
          <w:kern w:val="0"/>
          <w:szCs w:val="28"/>
        </w:rPr>
      </w:pPr>
      <w:r>
        <w:rPr>
          <w:rFonts w:hint="eastAsia" w:ascii="仿宋_GB2312" w:hAnsi="宋体" w:eastAsia="仿宋_GB2312" w:cs="宋体"/>
          <w:kern w:val="0"/>
          <w:szCs w:val="28"/>
        </w:rPr>
        <w:t xml:space="preserve">2. </w:t>
      </w:r>
      <w:r>
        <w:rPr>
          <w:rFonts w:hint="eastAsia" w:ascii="仿宋_GB2312" w:hAnsi="宋体" w:eastAsia="仿宋_GB2312" w:cs="宋体"/>
          <w:b/>
          <w:kern w:val="0"/>
          <w:szCs w:val="28"/>
          <w:lang w:eastAsia="zh-CN"/>
        </w:rPr>
        <w:t>成交</w:t>
      </w:r>
      <w:r>
        <w:rPr>
          <w:rFonts w:hint="eastAsia" w:ascii="仿宋_GB2312" w:hAnsi="宋体" w:eastAsia="仿宋_GB2312" w:cs="宋体"/>
          <w:b/>
          <w:kern w:val="0"/>
          <w:szCs w:val="28"/>
        </w:rPr>
        <w:t>供应商需负责</w:t>
      </w:r>
      <w:r>
        <w:rPr>
          <w:rFonts w:hint="eastAsia" w:ascii="仿宋_GB2312" w:hAnsi="宋体" w:eastAsia="仿宋_GB2312" w:cs="宋体"/>
          <w:b/>
          <w:kern w:val="0"/>
          <w:szCs w:val="28"/>
          <w:lang w:eastAsia="zh-CN"/>
        </w:rPr>
        <w:t>办理</w:t>
      </w:r>
      <w:r>
        <w:rPr>
          <w:rFonts w:hint="eastAsia" w:ascii="仿宋_GB2312" w:hAnsi="宋体" w:eastAsia="仿宋_GB2312" w:cs="宋体"/>
          <w:b/>
          <w:kern w:val="0"/>
          <w:szCs w:val="28"/>
        </w:rPr>
        <w:t>向政府相关部门提交申请（与施工同步进行）</w:t>
      </w:r>
      <w:r>
        <w:rPr>
          <w:rFonts w:hint="eastAsia" w:ascii="仿宋_GB2312" w:hAnsi="宋体" w:eastAsia="仿宋_GB2312" w:cs="宋体"/>
          <w:b/>
          <w:kern w:val="0"/>
          <w:szCs w:val="28"/>
          <w:lang w:eastAsia="zh-CN"/>
        </w:rPr>
        <w:t>、</w:t>
      </w:r>
      <w:r>
        <w:rPr>
          <w:rFonts w:hint="eastAsia" w:ascii="仿宋_GB2312" w:hAnsi="宋体" w:eastAsia="仿宋_GB2312" w:cs="宋体"/>
          <w:b/>
          <w:kern w:val="0"/>
          <w:szCs w:val="28"/>
        </w:rPr>
        <w:t>停车场收费的审核、验收等工作，并</w:t>
      </w:r>
      <w:r>
        <w:rPr>
          <w:rFonts w:hint="eastAsia" w:ascii="仿宋_GB2312" w:hAnsi="宋体" w:eastAsia="仿宋_GB2312" w:cs="宋体"/>
          <w:b/>
          <w:kern w:val="0"/>
          <w:szCs w:val="28"/>
          <w:lang w:eastAsia="zh-CN"/>
        </w:rPr>
        <w:t>保证</w:t>
      </w:r>
      <w:r>
        <w:rPr>
          <w:rFonts w:hint="eastAsia" w:ascii="仿宋_GB2312" w:hAnsi="宋体" w:eastAsia="仿宋_GB2312" w:cs="宋体"/>
          <w:b/>
          <w:kern w:val="0"/>
          <w:szCs w:val="28"/>
        </w:rPr>
        <w:t>停车管理系统按期正常运行，原则上一次性通过。</w:t>
      </w:r>
    </w:p>
    <w:p>
      <w:pPr>
        <w:pStyle w:val="2"/>
        <w:ind w:firstLine="562" w:firstLineChars="200"/>
        <w:rPr>
          <w:rFonts w:ascii="仿宋_GB2312" w:hAnsi="宋体" w:eastAsia="仿宋_GB2312" w:cs="宋体"/>
          <w:b/>
          <w:kern w:val="0"/>
          <w:szCs w:val="28"/>
        </w:rPr>
      </w:pPr>
    </w:p>
    <w:p>
      <w:pPr>
        <w:pStyle w:val="2"/>
        <w:rPr>
          <w:rFonts w:ascii="仿宋_GB2312" w:hAnsi="宋体" w:eastAsia="仿宋_GB2312" w:cs="宋体"/>
          <w:kern w:val="0"/>
          <w:szCs w:val="28"/>
        </w:rPr>
        <w:sectPr>
          <w:pgSz w:w="11907" w:h="16839"/>
          <w:pgMar w:top="1440" w:right="726" w:bottom="873" w:left="1236" w:header="720" w:footer="720" w:gutter="0"/>
          <w:cols w:space="720" w:num="1"/>
          <w:docGrid w:linePitch="286" w:charSpace="0"/>
        </w:sectPr>
      </w:pPr>
    </w:p>
    <w:p>
      <w:pPr>
        <w:pStyle w:val="2"/>
      </w:pPr>
      <w:r>
        <w:rPr>
          <w:rFonts w:hint="eastAsia"/>
        </w:rPr>
        <w:t>附件：</w:t>
      </w:r>
    </w:p>
    <w:p>
      <w:pPr>
        <w:pStyle w:val="2"/>
      </w:pPr>
    </w:p>
    <w:p>
      <w:pPr>
        <w:autoSpaceDE w:val="0"/>
        <w:autoSpaceDN w:val="0"/>
        <w:adjustRightInd w:val="0"/>
        <w:snapToGrid w:val="0"/>
        <w:spacing w:line="300" w:lineRule="auto"/>
        <w:rPr>
          <w:rFonts w:ascii="仿宋_GB2312" w:hAnsi="宋体" w:eastAsia="仿宋_GB2312" w:cs="宋体"/>
          <w:kern w:val="0"/>
          <w:sz w:val="28"/>
          <w:szCs w:val="28"/>
          <w:lang w:val="zh-CN"/>
        </w:rPr>
        <w:sectPr>
          <w:pgSz w:w="11907" w:h="16839"/>
          <w:pgMar w:top="1440" w:right="726" w:bottom="873" w:left="1236" w:header="720" w:footer="720" w:gutter="0"/>
          <w:cols w:space="720" w:num="1"/>
          <w:docGrid w:linePitch="286" w:charSpace="0"/>
        </w:sectPr>
      </w:pPr>
      <w:r>
        <w:rPr>
          <w:rFonts w:hint="eastAsia" w:ascii="仿宋_GB2312" w:hAnsi="宋体" w:eastAsia="仿宋_GB2312" w:cs="宋体"/>
          <w:kern w:val="0"/>
          <w:sz w:val="28"/>
          <w:szCs w:val="28"/>
        </w:rPr>
        <w:drawing>
          <wp:inline distT="0" distB="0" distL="0" distR="0">
            <wp:extent cx="4738370" cy="5296535"/>
            <wp:effectExtent l="19050" t="0" r="5080" b="0"/>
            <wp:docPr id="2" name="图片 7" descr="15826865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1582686531(1)"/>
                    <pic:cNvPicPr>
                      <a:picLocks noChangeAspect="1" noChangeArrowheads="1"/>
                    </pic:cNvPicPr>
                  </pic:nvPicPr>
                  <pic:blipFill>
                    <a:blip r:embed="rId7" cstate="print"/>
                    <a:srcRect/>
                    <a:stretch>
                      <a:fillRect/>
                    </a:stretch>
                  </pic:blipFill>
                  <pic:spPr>
                    <a:xfrm>
                      <a:off x="0" y="0"/>
                      <a:ext cx="4738370" cy="5296535"/>
                    </a:xfrm>
                    <a:prstGeom prst="rect">
                      <a:avLst/>
                    </a:prstGeom>
                    <a:noFill/>
                    <a:ln w="9525" cmpd="sng">
                      <a:noFill/>
                      <a:miter lim="800000"/>
                      <a:headEnd/>
                      <a:tailEnd/>
                    </a:ln>
                  </pic:spPr>
                </pic:pic>
              </a:graphicData>
            </a:graphic>
          </wp:inline>
        </w:drawing>
      </w:r>
    </w:p>
    <w:p>
      <w:pPr>
        <w:autoSpaceDE w:val="0"/>
        <w:autoSpaceDN w:val="0"/>
        <w:adjustRightInd w:val="0"/>
        <w:snapToGrid w:val="0"/>
        <w:spacing w:line="300" w:lineRule="auto"/>
        <w:jc w:val="center"/>
        <w:rPr>
          <w:rFonts w:ascii="仿宋_GB2312" w:eastAsia="仿宋_GB2312"/>
          <w:b/>
          <w:bCs/>
          <w:sz w:val="36"/>
          <w:szCs w:val="36"/>
          <w:lang w:val="zh-CN"/>
        </w:rPr>
      </w:pPr>
      <w:r>
        <w:rPr>
          <w:rFonts w:hint="eastAsia" w:ascii="仿宋_GB2312" w:eastAsia="仿宋_GB2312"/>
          <w:b/>
          <w:bCs/>
          <w:sz w:val="36"/>
          <w:szCs w:val="36"/>
          <w:lang w:val="zh-CN"/>
        </w:rPr>
        <w:t>第四部分  评审程序和内容</w:t>
      </w:r>
    </w:p>
    <w:p>
      <w:pPr>
        <w:autoSpaceDE w:val="0"/>
        <w:autoSpaceDN w:val="0"/>
        <w:adjustRightInd w:val="0"/>
        <w:snapToGrid w:val="0"/>
        <w:spacing w:line="300" w:lineRule="auto"/>
        <w:ind w:right="210" w:firstLine="560"/>
        <w:rPr>
          <w:rFonts w:ascii="仿宋_GB2312" w:eastAsia="仿宋_GB2312"/>
          <w:b/>
          <w:sz w:val="28"/>
          <w:szCs w:val="28"/>
          <w:lang w:val="zh-CN"/>
        </w:rPr>
      </w:pPr>
      <w:r>
        <w:rPr>
          <w:rFonts w:hint="eastAsia" w:ascii="仿宋_GB2312" w:eastAsia="仿宋_GB2312"/>
          <w:b/>
          <w:sz w:val="28"/>
          <w:szCs w:val="28"/>
          <w:lang w:val="zh-CN"/>
        </w:rPr>
        <w:t>一、采购代理机构组织磋商活动</w:t>
      </w:r>
    </w:p>
    <w:p>
      <w:pPr>
        <w:pStyle w:val="36"/>
        <w:snapToGrid w:val="0"/>
        <w:spacing w:line="300" w:lineRule="auto"/>
        <w:ind w:firstLine="562" w:firstLineChars="200"/>
        <w:contextualSpacing/>
        <w:rPr>
          <w:rFonts w:cs="宋体"/>
          <w:kern w:val="0"/>
          <w:sz w:val="28"/>
          <w:lang w:val="zh-CN"/>
        </w:rPr>
      </w:pPr>
      <w:r>
        <w:rPr>
          <w:rFonts w:hint="eastAsia" w:cs="宋体"/>
          <w:b/>
          <w:kern w:val="0"/>
          <w:sz w:val="28"/>
          <w:lang w:val="zh-CN"/>
        </w:rPr>
        <w:t>1、成立竞争性磋商小组。</w:t>
      </w:r>
      <w:r>
        <w:rPr>
          <w:rFonts w:cs="宋体"/>
          <w:kern w:val="0"/>
          <w:sz w:val="28"/>
          <w:lang w:val="zh-CN"/>
        </w:rPr>
        <w:t>竞争性磋商小组由采购人代表和评审专家共3人以上单数组成，其中评审专家人数不得少于竞争性磋商小组成员总数的2/3。采购人不得以评审专家身份参加本单位采购项目的评审。</w:t>
      </w:r>
      <w:r>
        <w:rPr>
          <w:rFonts w:hint="eastAsia" w:cs="宋体"/>
          <w:kern w:val="0"/>
          <w:sz w:val="28"/>
          <w:lang w:val="zh-CN"/>
        </w:rPr>
        <w:t>采购代理机构</w:t>
      </w:r>
      <w:r>
        <w:rPr>
          <w:rFonts w:cs="宋体"/>
          <w:kern w:val="0"/>
          <w:sz w:val="28"/>
          <w:lang w:val="zh-CN"/>
        </w:rPr>
        <w:t>人员不得参加本机构代理的采购项目的评审。</w:t>
      </w:r>
    </w:p>
    <w:p>
      <w:pPr>
        <w:spacing w:line="520" w:lineRule="exact"/>
        <w:ind w:firstLine="562" w:firstLineChars="200"/>
        <w:rPr>
          <w:rFonts w:ascii="仿宋_GB2312" w:hAnsi="宋体" w:eastAsia="仿宋_GB2312" w:cs="宋体"/>
          <w:b/>
          <w:kern w:val="0"/>
          <w:sz w:val="28"/>
          <w:szCs w:val="28"/>
          <w:lang w:val="zh-CN"/>
        </w:rPr>
      </w:pPr>
      <w:r>
        <w:rPr>
          <w:rFonts w:hint="eastAsia" w:ascii="仿宋_GB2312" w:hAnsi="宋体" w:eastAsia="仿宋_GB2312" w:cs="宋体"/>
          <w:b/>
          <w:kern w:val="0"/>
          <w:sz w:val="28"/>
          <w:szCs w:val="28"/>
          <w:lang w:val="zh-CN"/>
        </w:rPr>
        <w:t>2、竞争性磋商小组的职责：</w:t>
      </w:r>
    </w:p>
    <w:p>
      <w:pPr>
        <w:pStyle w:val="36"/>
        <w:snapToGrid w:val="0"/>
        <w:spacing w:line="300" w:lineRule="auto"/>
        <w:ind w:firstLine="560" w:firstLineChars="200"/>
        <w:contextualSpacing/>
        <w:rPr>
          <w:rFonts w:cs="宋体"/>
          <w:kern w:val="0"/>
          <w:sz w:val="28"/>
          <w:lang w:val="zh-CN"/>
        </w:rPr>
      </w:pPr>
      <w:r>
        <w:rPr>
          <w:rFonts w:hint="eastAsia" w:cs="宋体"/>
          <w:kern w:val="0"/>
          <w:sz w:val="28"/>
          <w:lang w:val="zh-CN"/>
        </w:rPr>
        <w:t>评审专家应当遵守评审工作纪律，不得泄露评审情况和评审中获悉的商业秘密。</w:t>
      </w:r>
    </w:p>
    <w:p>
      <w:pPr>
        <w:pStyle w:val="36"/>
        <w:snapToGrid w:val="0"/>
        <w:spacing w:line="300" w:lineRule="auto"/>
        <w:ind w:firstLine="560" w:firstLineChars="200"/>
        <w:contextualSpacing/>
        <w:rPr>
          <w:rFonts w:cs="宋体"/>
          <w:kern w:val="0"/>
          <w:sz w:val="28"/>
          <w:lang w:val="zh-CN"/>
        </w:rPr>
      </w:pPr>
      <w:r>
        <w:rPr>
          <w:rFonts w:hint="eastAsia" w:cs="宋体"/>
          <w:kern w:val="0"/>
          <w:sz w:val="28"/>
          <w:lang w:val="zh-CN"/>
        </w:rPr>
        <w:t>磋商小组在评审过程中发现供应商有行贿、提供虚假材料或者串通等违法行为的，应当及时向财政部门报告。</w:t>
      </w:r>
    </w:p>
    <w:p>
      <w:pPr>
        <w:pStyle w:val="36"/>
        <w:snapToGrid w:val="0"/>
        <w:spacing w:line="300" w:lineRule="auto"/>
        <w:ind w:firstLine="560" w:firstLineChars="200"/>
        <w:contextualSpacing/>
        <w:rPr>
          <w:rFonts w:cs="宋体"/>
          <w:kern w:val="0"/>
          <w:sz w:val="28"/>
        </w:rPr>
      </w:pPr>
      <w:r>
        <w:rPr>
          <w:rFonts w:hint="eastAsia" w:cs="宋体"/>
          <w:kern w:val="0"/>
          <w:sz w:val="28"/>
          <w:lang w:val="zh-CN"/>
        </w:rPr>
        <w:t>评审专家在评审过程中受到非法干涉的，应当及时向财政、监察等部门举报。</w:t>
      </w:r>
    </w:p>
    <w:p>
      <w:pPr>
        <w:pStyle w:val="36"/>
        <w:snapToGrid w:val="0"/>
        <w:spacing w:line="300" w:lineRule="auto"/>
        <w:ind w:firstLine="560" w:firstLineChars="200"/>
        <w:contextualSpacing/>
        <w:rPr>
          <w:rFonts w:cs="宋体"/>
          <w:kern w:val="0"/>
          <w:sz w:val="28"/>
          <w:lang w:val="zh-CN"/>
        </w:rPr>
      </w:pPr>
      <w:r>
        <w:rPr>
          <w:rFonts w:hint="eastAsia" w:cs="宋体"/>
          <w:kern w:val="0"/>
          <w:sz w:val="28"/>
          <w:lang w:val="zh-CN"/>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pStyle w:val="36"/>
        <w:snapToGrid w:val="0"/>
        <w:spacing w:line="300" w:lineRule="auto"/>
        <w:ind w:firstLine="560" w:firstLineChars="200"/>
        <w:contextualSpacing/>
        <w:rPr>
          <w:rFonts w:cs="宋体"/>
          <w:kern w:val="0"/>
          <w:sz w:val="28"/>
          <w:lang w:val="zh-CN"/>
        </w:rPr>
      </w:pPr>
      <w:r>
        <w:rPr>
          <w:rFonts w:hint="eastAsia" w:cs="宋体"/>
          <w:kern w:val="0"/>
          <w:sz w:val="28"/>
          <w:lang w:val="zh-CN"/>
        </w:rPr>
        <w:t>磋商文件内容违反国家有关强制性规定的，磋商小组应当停止评审并向采购人或者采购代理机构说明情况。</w:t>
      </w:r>
    </w:p>
    <w:p>
      <w:pPr>
        <w:pStyle w:val="36"/>
        <w:snapToGrid w:val="0"/>
        <w:spacing w:line="300" w:lineRule="auto"/>
        <w:ind w:firstLine="562" w:firstLineChars="200"/>
        <w:contextualSpacing/>
        <w:rPr>
          <w:rFonts w:cs="宋体"/>
          <w:b/>
          <w:kern w:val="0"/>
          <w:sz w:val="28"/>
          <w:lang w:val="zh-CN"/>
        </w:rPr>
      </w:pPr>
      <w:r>
        <w:rPr>
          <w:rFonts w:hint="eastAsia" w:cs="宋体"/>
          <w:b/>
          <w:kern w:val="0"/>
          <w:sz w:val="28"/>
          <w:lang w:val="zh-CN"/>
        </w:rPr>
        <w:t>3、竞争性磋商小组成员的义务：</w:t>
      </w:r>
    </w:p>
    <w:p>
      <w:pPr>
        <w:pStyle w:val="36"/>
        <w:snapToGrid w:val="0"/>
        <w:spacing w:line="300" w:lineRule="auto"/>
        <w:ind w:firstLine="560" w:firstLineChars="200"/>
        <w:contextualSpacing/>
        <w:rPr>
          <w:rFonts w:cs="宋体"/>
          <w:kern w:val="0"/>
          <w:sz w:val="28"/>
          <w:lang w:val="zh-CN"/>
        </w:rPr>
      </w:pPr>
      <w:r>
        <w:rPr>
          <w:rFonts w:hint="eastAsia" w:cs="宋体"/>
          <w:kern w:val="0"/>
          <w:sz w:val="28"/>
          <w:lang w:val="zh-CN"/>
        </w:rPr>
        <w:t>遵纪守法，客观、公正、廉洁地履行职责；根据采购文件的规定独立进行评审，对个人的评审意见承担法律责任；参与评审报告的起草；配合采购人、代理机构答复供应商提出的质疑；配合财政部门的投诉处理和监督检查工作。</w:t>
      </w:r>
    </w:p>
    <w:p>
      <w:pPr>
        <w:pStyle w:val="36"/>
        <w:snapToGrid w:val="0"/>
        <w:spacing w:line="300" w:lineRule="auto"/>
        <w:ind w:firstLine="562" w:firstLineChars="200"/>
        <w:contextualSpacing/>
        <w:rPr>
          <w:b/>
          <w:sz w:val="28"/>
        </w:rPr>
      </w:pPr>
      <w:r>
        <w:rPr>
          <w:rFonts w:hint="eastAsia" w:cs="宋体"/>
          <w:b/>
          <w:kern w:val="0"/>
          <w:sz w:val="28"/>
          <w:lang w:val="zh-CN"/>
        </w:rPr>
        <w:t>二、</w:t>
      </w:r>
      <w:r>
        <w:rPr>
          <w:rFonts w:hint="eastAsia"/>
          <w:b/>
          <w:sz w:val="28"/>
        </w:rPr>
        <w:t>供应商的法定代表人或授权人须持身份证准时参加磋商。</w:t>
      </w:r>
    </w:p>
    <w:p>
      <w:pPr>
        <w:autoSpaceDE w:val="0"/>
        <w:autoSpaceDN w:val="0"/>
        <w:adjustRightInd w:val="0"/>
        <w:snapToGrid w:val="0"/>
        <w:spacing w:line="300" w:lineRule="auto"/>
        <w:ind w:right="210" w:firstLine="562" w:firstLineChars="200"/>
        <w:rPr>
          <w:rFonts w:ascii="仿宋_GB2312" w:hAnsi="宋体" w:eastAsia="仿宋_GB2312"/>
          <w:b/>
          <w:sz w:val="28"/>
          <w:szCs w:val="28"/>
        </w:rPr>
      </w:pPr>
      <w:r>
        <w:rPr>
          <w:rFonts w:hint="eastAsia" w:ascii="仿宋_GB2312" w:hAnsi="宋体" w:eastAsia="仿宋_GB2312"/>
          <w:b/>
          <w:sz w:val="28"/>
          <w:szCs w:val="28"/>
        </w:rPr>
        <w:t>三、评审程序、内容</w:t>
      </w:r>
    </w:p>
    <w:p>
      <w:pPr>
        <w:pStyle w:val="36"/>
        <w:snapToGrid w:val="0"/>
        <w:spacing w:line="300" w:lineRule="auto"/>
        <w:ind w:firstLine="560" w:firstLineChars="200"/>
        <w:contextualSpacing/>
        <w:rPr>
          <w:rFonts w:cs="宋体"/>
          <w:kern w:val="0"/>
          <w:sz w:val="28"/>
          <w:lang w:val="zh-CN"/>
        </w:rPr>
      </w:pPr>
      <w:r>
        <w:rPr>
          <w:rFonts w:hint="eastAsia" w:cs="宋体"/>
          <w:kern w:val="0"/>
          <w:sz w:val="28"/>
          <w:lang w:val="zh-CN"/>
        </w:rPr>
        <w:t>1、</w:t>
      </w:r>
      <w:r>
        <w:rPr>
          <w:rFonts w:cs="宋体"/>
          <w:kern w:val="0"/>
          <w:sz w:val="28"/>
          <w:lang w:val="zh-CN"/>
        </w:rPr>
        <w:t>磋商小组应当对响应文件进行评审，并根据磋商文件规定的程序、评定成交的标准等事项与实质性响应磋商文件要求的供应商进行磋商。未实质性响应磋商文件的响应文件按无效处理，磋商小组应当告知有关供应商。 </w:t>
      </w:r>
    </w:p>
    <w:p>
      <w:pPr>
        <w:pStyle w:val="36"/>
        <w:snapToGrid w:val="0"/>
        <w:spacing w:line="300" w:lineRule="auto"/>
        <w:ind w:firstLine="560" w:firstLineChars="200"/>
        <w:contextualSpacing/>
        <w:rPr>
          <w:rFonts w:cs="宋体"/>
          <w:kern w:val="0"/>
          <w:sz w:val="28"/>
          <w:lang w:val="zh-CN"/>
        </w:rPr>
      </w:pPr>
      <w:r>
        <w:rPr>
          <w:rFonts w:hint="eastAsia" w:cs="宋体"/>
          <w:kern w:val="0"/>
          <w:sz w:val="28"/>
          <w:lang w:val="zh-CN"/>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36"/>
        <w:snapToGrid w:val="0"/>
        <w:spacing w:line="300" w:lineRule="auto"/>
        <w:ind w:firstLine="560" w:firstLineChars="200"/>
        <w:contextualSpacing/>
        <w:rPr>
          <w:rFonts w:cs="宋体"/>
          <w:kern w:val="0"/>
          <w:sz w:val="28"/>
          <w:lang w:val="zh-CN"/>
        </w:rPr>
      </w:pPr>
      <w:r>
        <w:rPr>
          <w:rFonts w:hint="eastAsia" w:cs="宋体"/>
          <w:kern w:val="0"/>
          <w:sz w:val="28"/>
          <w:lang w:val="zh-CN"/>
        </w:rPr>
        <w:t>磋商小组要求供应商澄清、说明或者更正响应文件应当以书面形式作出。供应商的澄清、说明或者更正应当由法定代表人或其授权代表签字或者加盖公章。由授权代表签字的，应当附法定代表人授权书。</w:t>
      </w:r>
    </w:p>
    <w:p>
      <w:pPr>
        <w:pStyle w:val="36"/>
        <w:snapToGrid w:val="0"/>
        <w:spacing w:line="300" w:lineRule="auto"/>
        <w:ind w:firstLine="560" w:firstLineChars="200"/>
        <w:contextualSpacing/>
        <w:rPr>
          <w:rFonts w:cs="宋体"/>
          <w:kern w:val="0"/>
          <w:sz w:val="28"/>
          <w:lang w:val="zh-CN"/>
        </w:rPr>
      </w:pPr>
      <w:r>
        <w:rPr>
          <w:rFonts w:hint="eastAsia" w:cs="宋体"/>
          <w:kern w:val="0"/>
          <w:sz w:val="28"/>
          <w:lang w:val="zh-CN"/>
        </w:rPr>
        <w:t>2、</w:t>
      </w:r>
      <w:r>
        <w:rPr>
          <w:rFonts w:cs="宋体"/>
          <w:kern w:val="0"/>
          <w:sz w:val="28"/>
          <w:lang w:val="zh-CN"/>
        </w:rPr>
        <w:t>磋商小组所有成员应当给予所有参加磋商的供应商平等的磋商机会。</w:t>
      </w:r>
    </w:p>
    <w:p>
      <w:pPr>
        <w:pStyle w:val="36"/>
        <w:snapToGrid w:val="0"/>
        <w:spacing w:line="300" w:lineRule="auto"/>
        <w:ind w:firstLine="560" w:firstLineChars="200"/>
        <w:contextualSpacing/>
        <w:rPr>
          <w:rFonts w:cs="宋体"/>
          <w:kern w:val="0"/>
          <w:sz w:val="28"/>
          <w:lang w:val="zh-CN"/>
        </w:rPr>
      </w:pPr>
      <w:r>
        <w:rPr>
          <w:rFonts w:hint="eastAsia" w:cs="宋体"/>
          <w:kern w:val="0"/>
          <w:sz w:val="28"/>
          <w:lang w:val="zh-CN"/>
        </w:rPr>
        <w:t>3、</w:t>
      </w:r>
      <w:r>
        <w:rPr>
          <w:rFonts w:cs="宋体"/>
          <w:kern w:val="0"/>
          <w:sz w:val="28"/>
          <w:lang w:val="zh-CN"/>
        </w:rPr>
        <w:t>在磋商过程中，磋商小组可以根据磋商文件和磋商情况实质性变动采购需求中的技术、服务要求以及合同草案条款，但不得变动磋商文件中的其他内容。实质性变动的内容，须经采购人代表确认。</w:t>
      </w:r>
    </w:p>
    <w:p>
      <w:pPr>
        <w:pStyle w:val="36"/>
        <w:snapToGrid w:val="0"/>
        <w:spacing w:line="300" w:lineRule="auto"/>
        <w:ind w:firstLine="560" w:firstLineChars="200"/>
        <w:contextualSpacing/>
        <w:rPr>
          <w:rFonts w:cs="宋体"/>
          <w:kern w:val="0"/>
          <w:sz w:val="28"/>
          <w:lang w:val="zh-CN"/>
        </w:rPr>
      </w:pPr>
      <w:r>
        <w:rPr>
          <w:rFonts w:cs="宋体"/>
          <w:kern w:val="0"/>
          <w:sz w:val="28"/>
          <w:lang w:val="zh-CN"/>
        </w:rPr>
        <w:t>对磋商文件作出的实质性变动是磋商文件的有效组成部分，磋商小组应当及时以书面形式同时通知所有参加磋商的供应商。</w:t>
      </w:r>
    </w:p>
    <w:p>
      <w:pPr>
        <w:pStyle w:val="36"/>
        <w:snapToGrid w:val="0"/>
        <w:spacing w:line="300" w:lineRule="auto"/>
        <w:ind w:firstLine="560" w:firstLineChars="200"/>
        <w:contextualSpacing/>
        <w:rPr>
          <w:rFonts w:cs="宋体"/>
          <w:kern w:val="0"/>
          <w:sz w:val="28"/>
          <w:lang w:val="zh-CN"/>
        </w:rPr>
      </w:pPr>
      <w:r>
        <w:rPr>
          <w:rFonts w:hint="eastAsia" w:cs="宋体"/>
          <w:kern w:val="0"/>
          <w:sz w:val="28"/>
          <w:lang w:val="zh-CN"/>
        </w:rPr>
        <w:t>4、</w:t>
      </w:r>
      <w:r>
        <w:rPr>
          <w:rFonts w:cs="宋体"/>
          <w:kern w:val="0"/>
          <w:sz w:val="28"/>
          <w:lang w:val="zh-CN"/>
        </w:rPr>
        <w:t>磋商文件能够详细列明采购标的的技术、服务要求的，磋商结束后，磋商小组应当要求所有</w:t>
      </w:r>
      <w:r>
        <w:rPr>
          <w:rFonts w:hint="eastAsia" w:cs="宋体"/>
          <w:kern w:val="0"/>
          <w:sz w:val="28"/>
          <w:lang w:val="zh-CN"/>
        </w:rPr>
        <w:t>实质性响应</w:t>
      </w:r>
      <w:r>
        <w:rPr>
          <w:rFonts w:cs="宋体"/>
          <w:kern w:val="0"/>
          <w:sz w:val="28"/>
          <w:lang w:val="zh-CN"/>
        </w:rPr>
        <w:t>的供应商在规定时间内提交最后报价，提交最后报价的供应商不得少于3家。</w:t>
      </w:r>
    </w:p>
    <w:p>
      <w:pPr>
        <w:pStyle w:val="36"/>
        <w:snapToGrid w:val="0"/>
        <w:spacing w:line="300" w:lineRule="auto"/>
        <w:ind w:firstLine="560" w:firstLineChars="200"/>
        <w:contextualSpacing/>
        <w:rPr>
          <w:rFonts w:cs="宋体"/>
          <w:kern w:val="0"/>
          <w:sz w:val="28"/>
          <w:lang w:val="zh-CN"/>
        </w:rPr>
      </w:pPr>
      <w:r>
        <w:rPr>
          <w:rFonts w:cs="宋体"/>
          <w:kern w:val="0"/>
          <w:sz w:val="28"/>
          <w:lang w:val="zh-CN"/>
        </w:rPr>
        <w:t>磋商文件不能详细列明采购标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pStyle w:val="36"/>
        <w:snapToGrid w:val="0"/>
        <w:spacing w:line="300" w:lineRule="auto"/>
        <w:ind w:firstLine="560" w:firstLineChars="200"/>
        <w:contextualSpacing/>
        <w:rPr>
          <w:rFonts w:cs="宋体"/>
          <w:kern w:val="0"/>
          <w:sz w:val="28"/>
          <w:lang w:val="zh-CN"/>
        </w:rPr>
      </w:pPr>
      <w:r>
        <w:rPr>
          <w:rFonts w:hint="eastAsia" w:cs="宋体"/>
          <w:kern w:val="0"/>
          <w:sz w:val="28"/>
          <w:lang w:val="zh-CN"/>
        </w:rPr>
        <w:t>5、</w:t>
      </w:r>
      <w:r>
        <w:rPr>
          <w:rFonts w:cs="宋体"/>
          <w:kern w:val="0"/>
          <w:sz w:val="28"/>
          <w:lang w:val="zh-CN"/>
        </w:rPr>
        <w:t>最后报价是供应商响应文件的有效组成部分。</w:t>
      </w:r>
    </w:p>
    <w:p>
      <w:pPr>
        <w:pStyle w:val="36"/>
        <w:snapToGrid w:val="0"/>
        <w:spacing w:line="300" w:lineRule="auto"/>
        <w:ind w:firstLine="560" w:firstLineChars="200"/>
        <w:contextualSpacing/>
        <w:rPr>
          <w:rFonts w:cs="宋体"/>
          <w:kern w:val="0"/>
          <w:sz w:val="28"/>
          <w:lang w:val="zh-CN"/>
        </w:rPr>
      </w:pPr>
      <w:r>
        <w:rPr>
          <w:rFonts w:hint="eastAsia" w:cs="宋体"/>
          <w:kern w:val="0"/>
          <w:sz w:val="28"/>
          <w:lang w:val="zh-CN"/>
        </w:rPr>
        <w:t>6、</w:t>
      </w:r>
      <w:r>
        <w:rPr>
          <w:rFonts w:cs="宋体"/>
          <w:kern w:val="0"/>
          <w:sz w:val="28"/>
          <w:lang w:val="zh-CN"/>
        </w:rPr>
        <w:t>已提交响应文件的供应商，在提交最后报价之前，可以根据磋商情况退出磋商。采购人、</w:t>
      </w:r>
      <w:r>
        <w:rPr>
          <w:rFonts w:hint="eastAsia" w:cs="宋体"/>
          <w:kern w:val="0"/>
          <w:sz w:val="28"/>
          <w:lang w:val="zh-CN"/>
        </w:rPr>
        <w:t>采购代理机构</w:t>
      </w:r>
      <w:r>
        <w:rPr>
          <w:rFonts w:cs="宋体"/>
          <w:kern w:val="0"/>
          <w:sz w:val="28"/>
          <w:lang w:val="zh-CN"/>
        </w:rPr>
        <w:t>应当退还退出磋商的供应商的保证金。</w:t>
      </w:r>
    </w:p>
    <w:p>
      <w:pPr>
        <w:pStyle w:val="36"/>
        <w:snapToGrid w:val="0"/>
        <w:spacing w:line="300" w:lineRule="auto"/>
        <w:ind w:firstLine="560" w:firstLineChars="200"/>
        <w:contextualSpacing/>
        <w:rPr>
          <w:rFonts w:cs="宋体"/>
          <w:kern w:val="0"/>
          <w:sz w:val="28"/>
          <w:lang w:val="zh-CN"/>
        </w:rPr>
      </w:pPr>
      <w:r>
        <w:rPr>
          <w:rFonts w:hint="eastAsia" w:cs="宋体"/>
          <w:kern w:val="0"/>
          <w:sz w:val="28"/>
          <w:lang w:val="zh-CN"/>
        </w:rPr>
        <w:t>磋商时间由磋商小组掌握。</w:t>
      </w:r>
    </w:p>
    <w:p>
      <w:pPr>
        <w:pStyle w:val="36"/>
        <w:snapToGrid w:val="0"/>
        <w:spacing w:line="300" w:lineRule="auto"/>
        <w:ind w:firstLine="579"/>
        <w:contextualSpacing/>
        <w:rPr>
          <w:b/>
          <w:sz w:val="28"/>
        </w:rPr>
      </w:pPr>
      <w:r>
        <w:rPr>
          <w:rFonts w:hint="eastAsia"/>
          <w:b/>
          <w:sz w:val="28"/>
        </w:rPr>
        <w:t>四、评审方法-综合评分法</w:t>
      </w:r>
    </w:p>
    <w:p>
      <w:pPr>
        <w:pStyle w:val="36"/>
        <w:snapToGrid w:val="0"/>
        <w:spacing w:line="300" w:lineRule="auto"/>
        <w:ind w:firstLine="577"/>
        <w:contextualSpacing/>
        <w:rPr>
          <w:sz w:val="28"/>
        </w:rPr>
      </w:pPr>
      <w:r>
        <w:rPr>
          <w:rFonts w:hint="eastAsia"/>
          <w:sz w:val="28"/>
        </w:rPr>
        <w:t>经磋商确定最终采购需求和提交最后报价的供应商后，由磋商小组采用综合评分法对提交最后报价的供应商的响应文件和最后报价进行综合评分。</w:t>
      </w:r>
    </w:p>
    <w:p>
      <w:pPr>
        <w:pStyle w:val="36"/>
        <w:snapToGrid w:val="0"/>
        <w:spacing w:line="300" w:lineRule="auto"/>
        <w:ind w:firstLine="577"/>
        <w:contextualSpacing/>
        <w:rPr>
          <w:sz w:val="28"/>
        </w:rPr>
      </w:pPr>
      <w:r>
        <w:rPr>
          <w:rFonts w:hint="eastAsia"/>
          <w:sz w:val="28"/>
        </w:rPr>
        <w:t>综合评分法，是指响应文件满足磋商文件全部实质性要求且按评审因素的量化指标评审得分最高的供应商为成交候选供应商的评审方法。</w:t>
      </w:r>
    </w:p>
    <w:p>
      <w:pPr>
        <w:pStyle w:val="36"/>
        <w:snapToGrid w:val="0"/>
        <w:spacing w:line="300" w:lineRule="auto"/>
        <w:ind w:firstLine="577"/>
        <w:contextualSpacing/>
        <w:rPr>
          <w:sz w:val="28"/>
        </w:rPr>
      </w:pPr>
      <w:r>
        <w:rPr>
          <w:rFonts w:hint="eastAsia"/>
          <w:sz w:val="28"/>
        </w:rPr>
        <w:t>评审时，磋商小组各成员应当独立对每个有效响应的文件进行评价、打分，然后汇总每个供应商每项评分因素的得分。</w:t>
      </w:r>
    </w:p>
    <w:p>
      <w:pPr>
        <w:snapToGrid w:val="0"/>
        <w:spacing w:line="300" w:lineRule="auto"/>
        <w:ind w:firstLine="562" w:firstLineChars="200"/>
        <w:rPr>
          <w:rFonts w:ascii="仿宋_GB2312" w:hAnsi="宋体" w:eastAsia="仿宋_GB2312"/>
          <w:b/>
          <w:sz w:val="28"/>
          <w:szCs w:val="28"/>
        </w:rPr>
      </w:pPr>
      <w:r>
        <w:rPr>
          <w:rFonts w:hint="eastAsia" w:ascii="仿宋_GB2312" w:hAnsi="宋体" w:eastAsia="仿宋_GB2312"/>
          <w:b/>
          <w:sz w:val="28"/>
          <w:szCs w:val="28"/>
        </w:rPr>
        <w:t>（一）审查响应文件的有效性、完整性、响应程度</w:t>
      </w:r>
    </w:p>
    <w:p>
      <w:pPr>
        <w:snapToGrid w:val="0"/>
        <w:spacing w:line="300" w:lineRule="auto"/>
        <w:ind w:firstLine="560" w:firstLineChars="200"/>
        <w:rPr>
          <w:rFonts w:ascii="仿宋_GB2312" w:hAnsi="宋体" w:eastAsia="仿宋_GB2312"/>
          <w:sz w:val="28"/>
          <w:szCs w:val="28"/>
        </w:rPr>
      </w:pPr>
      <w:r>
        <w:rPr>
          <w:rFonts w:hint="eastAsia" w:ascii="仿宋_GB2312" w:hAnsi="宋体" w:eastAsia="仿宋_GB2312"/>
          <w:sz w:val="28"/>
          <w:szCs w:val="28"/>
        </w:rPr>
        <w:t>1、要求的保证金是否已提供；</w:t>
      </w:r>
    </w:p>
    <w:p>
      <w:pPr>
        <w:snapToGrid w:val="0"/>
        <w:spacing w:line="300" w:lineRule="auto"/>
        <w:ind w:firstLine="562" w:firstLineChars="200"/>
        <w:rPr>
          <w:rFonts w:ascii="仿宋_GB2312" w:hAnsi="宋体" w:eastAsia="仿宋_GB2312"/>
          <w:b/>
          <w:sz w:val="28"/>
          <w:szCs w:val="28"/>
        </w:rPr>
      </w:pPr>
      <w:r>
        <w:rPr>
          <w:rFonts w:hint="eastAsia" w:ascii="仿宋_GB2312" w:hAnsi="宋体" w:eastAsia="仿宋_GB2312"/>
          <w:b/>
          <w:sz w:val="28"/>
          <w:szCs w:val="28"/>
        </w:rPr>
        <w:t>2、供应商资格是否符合;</w:t>
      </w:r>
    </w:p>
    <w:p>
      <w:pPr>
        <w:snapToGrid w:val="0"/>
        <w:spacing w:line="300" w:lineRule="auto"/>
        <w:ind w:firstLine="560" w:firstLineChars="200"/>
        <w:rPr>
          <w:rFonts w:ascii="仿宋_GB2312" w:hAnsi="宋体" w:eastAsia="仿宋_GB2312"/>
          <w:sz w:val="28"/>
          <w:szCs w:val="28"/>
        </w:rPr>
      </w:pPr>
      <w:r>
        <w:rPr>
          <w:rFonts w:hint="eastAsia" w:ascii="仿宋_GB2312" w:hAnsi="宋体" w:eastAsia="仿宋_GB2312"/>
          <w:sz w:val="28"/>
          <w:szCs w:val="28"/>
        </w:rPr>
        <w:t>3、响应文件是否完整；</w:t>
      </w:r>
    </w:p>
    <w:p>
      <w:pPr>
        <w:snapToGrid w:val="0"/>
        <w:spacing w:line="300" w:lineRule="auto"/>
        <w:ind w:firstLine="560" w:firstLineChars="200"/>
        <w:rPr>
          <w:rFonts w:ascii="仿宋_GB2312" w:hAnsi="宋体" w:eastAsia="仿宋_GB2312"/>
          <w:sz w:val="28"/>
          <w:szCs w:val="28"/>
        </w:rPr>
      </w:pPr>
      <w:r>
        <w:rPr>
          <w:rFonts w:hint="eastAsia" w:ascii="仿宋_GB2312" w:hAnsi="宋体" w:eastAsia="仿宋_GB2312"/>
          <w:sz w:val="28"/>
          <w:szCs w:val="28"/>
        </w:rPr>
        <w:t>4、响应文件是否恰当地签署；</w:t>
      </w:r>
    </w:p>
    <w:p>
      <w:pPr>
        <w:snapToGrid w:val="0"/>
        <w:spacing w:line="300" w:lineRule="auto"/>
        <w:ind w:firstLine="540"/>
        <w:rPr>
          <w:rFonts w:ascii="楷体_GB2312" w:hAnsi="宋体" w:eastAsia="楷体_GB2312"/>
          <w:b/>
          <w:sz w:val="28"/>
          <w:szCs w:val="28"/>
        </w:rPr>
      </w:pPr>
      <w:r>
        <w:rPr>
          <w:rFonts w:hint="eastAsia" w:ascii="仿宋_GB2312" w:hAnsi="宋体" w:eastAsia="仿宋_GB2312"/>
          <w:sz w:val="28"/>
          <w:szCs w:val="28"/>
        </w:rPr>
        <w:t>5、是否作出实质性响应（</w:t>
      </w:r>
      <w:r>
        <w:rPr>
          <w:rFonts w:hint="eastAsia" w:ascii="仿宋_GB2312" w:hAnsi="宋体" w:eastAsia="仿宋_GB2312"/>
          <w:b/>
          <w:sz w:val="28"/>
          <w:szCs w:val="28"/>
        </w:rPr>
        <w:t>是否有实质性响应，只根据响应文件本身，而不寻求外部证据</w:t>
      </w:r>
      <w:r>
        <w:rPr>
          <w:rFonts w:hint="eastAsia" w:ascii="楷体_GB2312" w:hAnsi="宋体" w:eastAsia="楷体_GB2312"/>
          <w:b/>
          <w:sz w:val="28"/>
          <w:szCs w:val="28"/>
        </w:rPr>
        <w:t>）；</w:t>
      </w:r>
    </w:p>
    <w:p>
      <w:pPr>
        <w:snapToGrid w:val="0"/>
        <w:spacing w:line="300" w:lineRule="auto"/>
        <w:ind w:firstLine="560" w:firstLineChars="200"/>
        <w:rPr>
          <w:rFonts w:ascii="仿宋_GB2312" w:hAnsi="宋体" w:eastAsia="仿宋_GB2312"/>
          <w:sz w:val="28"/>
          <w:szCs w:val="28"/>
        </w:rPr>
      </w:pPr>
      <w:r>
        <w:rPr>
          <w:rFonts w:hint="eastAsia" w:ascii="仿宋_GB2312" w:hAnsi="宋体" w:eastAsia="仿宋_GB2312"/>
          <w:sz w:val="28"/>
          <w:szCs w:val="28"/>
        </w:rPr>
        <w:t>6、是否有计算错误。</w:t>
      </w:r>
    </w:p>
    <w:p>
      <w:pPr>
        <w:snapToGrid w:val="0"/>
        <w:spacing w:line="300" w:lineRule="auto"/>
        <w:ind w:firstLine="562" w:firstLineChars="200"/>
        <w:rPr>
          <w:rFonts w:ascii="仿宋_GB2312" w:hAnsi="宋体" w:eastAsia="仿宋_GB2312"/>
          <w:b/>
          <w:bCs/>
          <w:sz w:val="28"/>
          <w:szCs w:val="28"/>
        </w:rPr>
      </w:pPr>
      <w:r>
        <w:rPr>
          <w:rFonts w:hint="eastAsia" w:ascii="仿宋_GB2312" w:hAnsi="宋体" w:eastAsia="仿宋_GB2312"/>
          <w:b/>
          <w:bCs/>
          <w:sz w:val="28"/>
          <w:szCs w:val="28"/>
        </w:rPr>
        <w:t>（二）误差纠正</w:t>
      </w:r>
    </w:p>
    <w:p>
      <w:pPr>
        <w:snapToGrid w:val="0"/>
        <w:spacing w:line="300" w:lineRule="auto"/>
        <w:ind w:firstLine="560" w:firstLineChars="200"/>
        <w:rPr>
          <w:rFonts w:ascii="仿宋_GB2312" w:hAnsi="宋体" w:eastAsia="仿宋_GB2312"/>
          <w:sz w:val="28"/>
          <w:szCs w:val="28"/>
        </w:rPr>
      </w:pPr>
      <w:r>
        <w:rPr>
          <w:rFonts w:hint="eastAsia" w:ascii="仿宋_GB2312" w:hAnsi="宋体" w:eastAsia="仿宋_GB2312"/>
          <w:bCs/>
          <w:sz w:val="28"/>
          <w:szCs w:val="28"/>
        </w:rPr>
        <w:t>1、</w:t>
      </w:r>
      <w:r>
        <w:rPr>
          <w:rFonts w:hint="eastAsia" w:ascii="仿宋_GB2312" w:hAnsi="宋体" w:eastAsia="仿宋_GB2312"/>
          <w:sz w:val="28"/>
          <w:szCs w:val="28"/>
        </w:rPr>
        <w:t>如果单价汇总金额与总价金额有出入，以单价金额计算结果为准；</w:t>
      </w:r>
    </w:p>
    <w:p>
      <w:pPr>
        <w:snapToGrid w:val="0"/>
        <w:spacing w:line="300" w:lineRule="auto"/>
        <w:ind w:firstLine="560" w:firstLineChars="200"/>
        <w:rPr>
          <w:rFonts w:ascii="仿宋_GB2312" w:hAnsi="宋体" w:eastAsia="仿宋_GB2312"/>
          <w:sz w:val="28"/>
          <w:szCs w:val="28"/>
        </w:rPr>
      </w:pPr>
      <w:r>
        <w:rPr>
          <w:rFonts w:hint="eastAsia" w:ascii="仿宋_GB2312" w:hAnsi="宋体" w:eastAsia="仿宋_GB2312"/>
          <w:sz w:val="28"/>
          <w:szCs w:val="28"/>
        </w:rPr>
        <w:t>2、单价金额小数点有明显错位的，应以总价为准；</w:t>
      </w:r>
    </w:p>
    <w:p>
      <w:pPr>
        <w:snapToGrid w:val="0"/>
        <w:spacing w:line="300" w:lineRule="auto"/>
        <w:ind w:firstLine="560" w:firstLineChars="200"/>
        <w:rPr>
          <w:rFonts w:ascii="仿宋_GB2312" w:hAnsi="宋体" w:eastAsia="仿宋_GB2312"/>
          <w:sz w:val="28"/>
          <w:szCs w:val="28"/>
        </w:rPr>
      </w:pPr>
      <w:r>
        <w:rPr>
          <w:rFonts w:hint="eastAsia" w:ascii="仿宋_GB2312" w:hAnsi="宋体" w:eastAsia="仿宋_GB2312"/>
          <w:sz w:val="28"/>
          <w:szCs w:val="28"/>
        </w:rPr>
        <w:t>3、正本与副本有矛盾的，以正本为准；</w:t>
      </w:r>
    </w:p>
    <w:p>
      <w:pPr>
        <w:snapToGrid w:val="0"/>
        <w:spacing w:line="300" w:lineRule="auto"/>
        <w:ind w:firstLine="560" w:firstLineChars="200"/>
        <w:rPr>
          <w:rFonts w:ascii="仿宋_GB2312" w:hAnsi="宋体" w:eastAsia="仿宋_GB2312"/>
          <w:sz w:val="28"/>
          <w:szCs w:val="28"/>
        </w:rPr>
      </w:pPr>
      <w:r>
        <w:rPr>
          <w:rFonts w:hint="eastAsia" w:ascii="仿宋_GB2312" w:hAnsi="宋体" w:eastAsia="仿宋_GB2312"/>
          <w:sz w:val="28"/>
          <w:szCs w:val="28"/>
        </w:rPr>
        <w:t>4、若文件大写表示的数据与数字表示的有差别，以大写表示的数据为准。</w:t>
      </w:r>
    </w:p>
    <w:p>
      <w:pPr>
        <w:tabs>
          <w:tab w:val="left" w:pos="6555"/>
          <w:tab w:val="right" w:pos="8306"/>
        </w:tabs>
        <w:snapToGrid w:val="0"/>
        <w:spacing w:line="300" w:lineRule="auto"/>
        <w:ind w:firstLine="562" w:firstLineChars="200"/>
        <w:rPr>
          <w:rFonts w:ascii="仿宋_GB2312" w:hAnsi="宋体" w:eastAsia="仿宋_GB2312"/>
          <w:b/>
          <w:sz w:val="28"/>
          <w:szCs w:val="28"/>
        </w:rPr>
      </w:pPr>
      <w:r>
        <w:rPr>
          <w:rFonts w:hint="eastAsia" w:ascii="仿宋_GB2312" w:hAnsi="宋体" w:eastAsia="仿宋_GB2312"/>
          <w:b/>
          <w:sz w:val="28"/>
          <w:szCs w:val="28"/>
        </w:rPr>
        <w:t>（三）出现下列情形之一的，作无效响应处理;</w:t>
      </w:r>
    </w:p>
    <w:p>
      <w:pPr>
        <w:snapToGrid w:val="0"/>
        <w:spacing w:line="300" w:lineRule="auto"/>
        <w:ind w:firstLine="570"/>
        <w:rPr>
          <w:rFonts w:ascii="仿宋_GB2312" w:hAnsi="宋体" w:eastAsia="仿宋_GB2312"/>
          <w:sz w:val="28"/>
          <w:szCs w:val="28"/>
        </w:rPr>
      </w:pPr>
      <w:r>
        <w:rPr>
          <w:rFonts w:hint="eastAsia" w:ascii="仿宋_GB2312" w:hAnsi="宋体" w:eastAsia="仿宋_GB2312"/>
          <w:sz w:val="28"/>
          <w:szCs w:val="28"/>
        </w:rPr>
        <w:t>1、未按照磋商文件规定要求装订、密封、签署、盖章的；</w:t>
      </w:r>
    </w:p>
    <w:p>
      <w:pPr>
        <w:snapToGrid w:val="0"/>
        <w:spacing w:line="300" w:lineRule="auto"/>
        <w:ind w:firstLine="570"/>
        <w:rPr>
          <w:rFonts w:ascii="仿宋_GB2312" w:hAnsi="宋体" w:eastAsia="仿宋_GB2312"/>
          <w:sz w:val="28"/>
          <w:szCs w:val="28"/>
        </w:rPr>
      </w:pPr>
      <w:r>
        <w:rPr>
          <w:rFonts w:hint="eastAsia" w:ascii="仿宋_GB2312" w:hAnsi="宋体" w:eastAsia="仿宋_GB2312"/>
          <w:sz w:val="28"/>
          <w:szCs w:val="28"/>
        </w:rPr>
        <w:t>2、不具备磋商文件中规定的资格要求的；</w:t>
      </w:r>
    </w:p>
    <w:p>
      <w:pPr>
        <w:snapToGrid w:val="0"/>
        <w:spacing w:line="300" w:lineRule="auto"/>
        <w:ind w:firstLine="570"/>
        <w:rPr>
          <w:rFonts w:ascii="仿宋_GB2312" w:hAnsi="宋体" w:eastAsia="仿宋_GB2312"/>
          <w:sz w:val="28"/>
          <w:szCs w:val="28"/>
        </w:rPr>
      </w:pPr>
      <w:r>
        <w:rPr>
          <w:rFonts w:hint="eastAsia" w:ascii="仿宋_GB2312" w:hAnsi="宋体" w:eastAsia="仿宋_GB2312"/>
          <w:sz w:val="28"/>
          <w:szCs w:val="28"/>
        </w:rPr>
        <w:t>3、响应报价超出预算的；</w:t>
      </w:r>
    </w:p>
    <w:p>
      <w:pPr>
        <w:snapToGrid w:val="0"/>
        <w:spacing w:line="300" w:lineRule="auto"/>
        <w:ind w:firstLine="570"/>
        <w:rPr>
          <w:rFonts w:ascii="仿宋_GB2312" w:hAnsi="宋体" w:eastAsia="仿宋_GB2312"/>
          <w:sz w:val="28"/>
          <w:szCs w:val="28"/>
        </w:rPr>
      </w:pPr>
      <w:r>
        <w:rPr>
          <w:rFonts w:hint="eastAsia" w:ascii="仿宋_GB2312" w:hAnsi="宋体" w:eastAsia="仿宋_GB2312"/>
          <w:sz w:val="28"/>
          <w:szCs w:val="28"/>
        </w:rPr>
        <w:t>4、不符合法律、法规和磋商文件中规定的其他实质性要求的。</w:t>
      </w:r>
    </w:p>
    <w:p>
      <w:pPr>
        <w:snapToGrid w:val="0"/>
        <w:spacing w:line="300" w:lineRule="auto"/>
        <w:ind w:firstLine="570"/>
        <w:rPr>
          <w:rFonts w:ascii="仿宋_GB2312" w:hAnsi="宋体" w:eastAsia="仿宋_GB2312"/>
          <w:b/>
          <w:sz w:val="28"/>
          <w:szCs w:val="28"/>
        </w:rPr>
      </w:pPr>
      <w:r>
        <w:rPr>
          <w:rFonts w:hint="eastAsia" w:ascii="仿宋_GB2312" w:hAnsi="宋体" w:eastAsia="仿宋_GB2312"/>
          <w:b/>
          <w:sz w:val="28"/>
          <w:szCs w:val="28"/>
        </w:rPr>
        <w:t>（四）出现下列情形之一的，磋商失败；</w:t>
      </w:r>
    </w:p>
    <w:p>
      <w:pPr>
        <w:snapToGrid w:val="0"/>
        <w:spacing w:line="300" w:lineRule="auto"/>
        <w:ind w:firstLine="570"/>
        <w:rPr>
          <w:rFonts w:ascii="仿宋_GB2312" w:hAnsi="宋体" w:eastAsia="仿宋_GB2312"/>
          <w:sz w:val="28"/>
          <w:szCs w:val="28"/>
        </w:rPr>
      </w:pPr>
      <w:r>
        <w:rPr>
          <w:rFonts w:hint="eastAsia" w:ascii="仿宋_GB2312" w:hAnsi="宋体" w:eastAsia="仿宋_GB2312"/>
          <w:sz w:val="28"/>
          <w:szCs w:val="28"/>
        </w:rPr>
        <w:t>1、符合条件的供应商或者对磋商文件作实质响应的供应商不足3家的；</w:t>
      </w:r>
    </w:p>
    <w:p>
      <w:pPr>
        <w:snapToGrid w:val="0"/>
        <w:spacing w:line="300" w:lineRule="auto"/>
        <w:ind w:firstLine="555"/>
        <w:rPr>
          <w:rFonts w:ascii="仿宋_GB2312" w:hAnsi="宋体" w:eastAsia="仿宋_GB2312"/>
          <w:sz w:val="28"/>
          <w:szCs w:val="28"/>
        </w:rPr>
      </w:pPr>
      <w:r>
        <w:rPr>
          <w:rFonts w:hint="eastAsia" w:ascii="仿宋_GB2312" w:hAnsi="宋体" w:eastAsia="仿宋_GB2312"/>
          <w:sz w:val="28"/>
          <w:szCs w:val="28"/>
        </w:rPr>
        <w:t>2、出现影响采购公正的违法违规行为的；</w:t>
      </w:r>
    </w:p>
    <w:p>
      <w:pPr>
        <w:snapToGrid w:val="0"/>
        <w:spacing w:line="300" w:lineRule="auto"/>
        <w:ind w:firstLine="555"/>
        <w:rPr>
          <w:rFonts w:ascii="仿宋_GB2312" w:hAnsi="宋体" w:eastAsia="仿宋_GB2312"/>
          <w:sz w:val="28"/>
          <w:szCs w:val="28"/>
        </w:rPr>
      </w:pPr>
      <w:r>
        <w:rPr>
          <w:rFonts w:hint="eastAsia" w:ascii="仿宋_GB2312" w:hAnsi="宋体" w:eastAsia="仿宋_GB2312"/>
          <w:sz w:val="28"/>
          <w:szCs w:val="28"/>
        </w:rPr>
        <w:t>3、供应商的最后报价均超过了采购预算，采购人不能支付的；</w:t>
      </w:r>
    </w:p>
    <w:p>
      <w:pPr>
        <w:snapToGrid w:val="0"/>
        <w:spacing w:line="300" w:lineRule="auto"/>
        <w:ind w:firstLine="555"/>
        <w:rPr>
          <w:rFonts w:ascii="仿宋_GB2312" w:hAnsi="宋体" w:eastAsia="仿宋_GB2312"/>
          <w:sz w:val="28"/>
          <w:szCs w:val="28"/>
        </w:rPr>
      </w:pPr>
      <w:r>
        <w:rPr>
          <w:rFonts w:hint="eastAsia" w:ascii="仿宋_GB2312" w:hAnsi="宋体" w:eastAsia="仿宋_GB2312"/>
          <w:sz w:val="28"/>
          <w:szCs w:val="28"/>
        </w:rPr>
        <w:t>4、因重大变故，采购任务取消的。</w:t>
      </w:r>
    </w:p>
    <w:p>
      <w:pPr>
        <w:snapToGrid w:val="0"/>
        <w:spacing w:line="300" w:lineRule="auto"/>
        <w:ind w:firstLine="555"/>
        <w:rPr>
          <w:rFonts w:ascii="仿宋_GB2312" w:hAnsi="宋体" w:eastAsia="仿宋_GB2312"/>
          <w:sz w:val="28"/>
          <w:szCs w:val="28"/>
        </w:rPr>
      </w:pPr>
      <w:r>
        <w:rPr>
          <w:rFonts w:hint="eastAsia" w:ascii="仿宋_GB2312" w:hAnsi="宋体" w:eastAsia="仿宋_GB2312"/>
          <w:sz w:val="28"/>
          <w:szCs w:val="28"/>
        </w:rPr>
        <w:t>除资格性检查认定错误、分值汇总计算错误、分项评分超出评分标准范围、客观分评分不一致、经磋商小组一致认定评分畸高、畸低的情形外，采购人、采购代理机构不以任何理由组织重新评审。采购人、采购代理机构发现磋商小组未按照磋商文件规定的评审标准进行评审的，重新开展采购活动。</w:t>
      </w:r>
    </w:p>
    <w:p>
      <w:pPr>
        <w:pStyle w:val="36"/>
        <w:snapToGrid w:val="0"/>
        <w:spacing w:line="300" w:lineRule="auto"/>
        <w:ind w:firstLine="579"/>
        <w:contextualSpacing/>
        <w:rPr>
          <w:b/>
          <w:sz w:val="28"/>
        </w:rPr>
      </w:pPr>
      <w:r>
        <w:rPr>
          <w:rFonts w:hint="eastAsia"/>
          <w:b/>
          <w:sz w:val="28"/>
        </w:rPr>
        <w:t>五、评审标准</w:t>
      </w:r>
    </w:p>
    <w:p>
      <w:pPr>
        <w:snapToGrid w:val="0"/>
        <w:spacing w:line="300" w:lineRule="auto"/>
        <w:ind w:firstLine="555"/>
        <w:rPr>
          <w:rFonts w:ascii="仿宋_GB2312" w:hAnsi="宋体" w:eastAsia="仿宋_GB2312"/>
          <w:sz w:val="28"/>
          <w:szCs w:val="28"/>
        </w:rPr>
      </w:pPr>
      <w:r>
        <w:rPr>
          <w:rFonts w:hint="eastAsia" w:ascii="仿宋_GB2312" w:hAnsi="宋体" w:eastAsia="仿宋_GB2312"/>
          <w:sz w:val="28"/>
          <w:szCs w:val="28"/>
        </w:rPr>
        <w:t>商务技术部分评审结束后，再开启最后报价计算分值。总分值为100分，加分和减分因素除外。</w:t>
      </w:r>
    </w:p>
    <w:p>
      <w:pPr>
        <w:snapToGrid w:val="0"/>
        <w:spacing w:line="300" w:lineRule="auto"/>
        <w:ind w:left="568"/>
        <w:rPr>
          <w:rFonts w:ascii="仿宋_GB2312" w:eastAsia="仿宋_GB2312"/>
          <w:sz w:val="28"/>
          <w:szCs w:val="28"/>
          <w:lang w:val="zh-CN"/>
        </w:rPr>
      </w:pPr>
      <w:r>
        <w:rPr>
          <w:rFonts w:hint="eastAsia" w:ascii="仿宋_GB2312" w:hAnsi="宋体" w:eastAsia="仿宋_GB2312"/>
          <w:b/>
          <w:sz w:val="28"/>
          <w:szCs w:val="28"/>
        </w:rPr>
        <w:t>（一）</w:t>
      </w:r>
      <w:r>
        <w:rPr>
          <w:rFonts w:hint="eastAsia" w:ascii="仿宋_GB2312" w:eastAsia="仿宋_GB2312"/>
          <w:b/>
          <w:sz w:val="28"/>
          <w:szCs w:val="28"/>
          <w:lang w:val="zh-CN"/>
        </w:rPr>
        <w:t>商务技术分</w:t>
      </w:r>
      <w:r>
        <w:rPr>
          <w:rFonts w:hint="eastAsia" w:ascii="仿宋_GB2312" w:eastAsia="仿宋_GB2312"/>
          <w:sz w:val="28"/>
          <w:szCs w:val="28"/>
          <w:lang w:val="zh-CN"/>
        </w:rPr>
        <w:t>：70分</w:t>
      </w:r>
    </w:p>
    <w:p>
      <w:pPr>
        <w:snapToGrid w:val="0"/>
        <w:spacing w:line="300" w:lineRule="auto"/>
        <w:ind w:firstLine="700" w:firstLineChars="250"/>
        <w:contextualSpacing/>
        <w:jc w:val="left"/>
        <w:rPr>
          <w:rFonts w:ascii="仿宋_GB2312" w:hAnsi="宋体" w:eastAsia="仿宋_GB2312"/>
          <w:sz w:val="28"/>
          <w:szCs w:val="28"/>
        </w:rPr>
      </w:pPr>
      <w:r>
        <w:rPr>
          <w:rFonts w:hint="eastAsia" w:ascii="仿宋_GB2312" w:hAnsi="宋体" w:eastAsia="仿宋_GB2312"/>
          <w:sz w:val="28"/>
          <w:szCs w:val="28"/>
        </w:rPr>
        <w:t>供应商得分为磋商小组3个成员的平均分。以下所设分值均为各条评分最大得分值，请</w:t>
      </w:r>
      <w:r>
        <w:rPr>
          <w:rFonts w:hint="eastAsia" w:ascii="仿宋_GB2312" w:hAnsi="宋体" w:eastAsia="仿宋_GB2312"/>
          <w:sz w:val="28"/>
          <w:szCs w:val="28"/>
          <w:lang w:eastAsia="zh-CN"/>
        </w:rPr>
        <w:t>磋商小组</w:t>
      </w:r>
      <w:r>
        <w:rPr>
          <w:rFonts w:hint="eastAsia" w:ascii="仿宋_GB2312" w:hAnsi="宋体" w:eastAsia="仿宋_GB2312"/>
          <w:sz w:val="28"/>
          <w:szCs w:val="28"/>
        </w:rPr>
        <w:t>根据各条评分内容在设分值区间内酌情打分。</w:t>
      </w:r>
    </w:p>
    <w:p>
      <w:pPr>
        <w:pStyle w:val="2"/>
        <w:rPr>
          <w:rFonts w:ascii="仿宋_GB2312" w:hAnsi="宋体" w:eastAsia="仿宋_GB2312"/>
          <w:szCs w:val="28"/>
        </w:rPr>
      </w:pPr>
    </w:p>
    <w:p>
      <w:pPr>
        <w:pStyle w:val="2"/>
        <w:rPr>
          <w:rFonts w:ascii="仿宋_GB2312" w:hAnsi="宋体" w:eastAsia="仿宋_GB2312"/>
          <w:szCs w:val="28"/>
        </w:rPr>
      </w:pPr>
    </w:p>
    <w:p>
      <w:pPr>
        <w:pStyle w:val="2"/>
        <w:rPr>
          <w:rFonts w:ascii="仿宋_GB2312" w:hAnsi="宋体" w:eastAsia="仿宋_GB2312"/>
          <w:szCs w:val="28"/>
        </w:rPr>
      </w:pPr>
    </w:p>
    <w:p>
      <w:pPr>
        <w:pStyle w:val="2"/>
        <w:rPr>
          <w:rFonts w:ascii="仿宋_GB2312" w:hAnsi="宋体" w:eastAsia="仿宋_GB2312"/>
          <w:szCs w:val="28"/>
        </w:rPr>
      </w:pPr>
    </w:p>
    <w:tbl>
      <w:tblPr>
        <w:tblStyle w:val="1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948"/>
        <w:gridCol w:w="75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1" w:hRule="atLeast"/>
          <w:tblHeader/>
          <w:jc w:val="center"/>
        </w:trPr>
        <w:tc>
          <w:tcPr>
            <w:tcW w:w="1348" w:type="dxa"/>
            <w:tcBorders>
              <w:top w:val="single" w:color="auto" w:sz="12" w:space="0"/>
            </w:tcBorders>
            <w:vAlign w:val="center"/>
          </w:tcPr>
          <w:p>
            <w:pPr>
              <w:snapToGrid w:val="0"/>
              <w:spacing w:line="300" w:lineRule="auto"/>
              <w:jc w:val="center"/>
              <w:rPr>
                <w:rFonts w:ascii="楷体" w:hAnsi="楷体" w:eastAsia="楷体" w:cs="楷体"/>
                <w:szCs w:val="21"/>
              </w:rPr>
            </w:pPr>
            <w:r>
              <w:rPr>
                <w:rFonts w:hint="eastAsia" w:ascii="楷体" w:hAnsi="楷体" w:eastAsia="楷体" w:cs="楷体"/>
                <w:szCs w:val="21"/>
              </w:rPr>
              <w:t>分项</w:t>
            </w:r>
          </w:p>
        </w:tc>
        <w:tc>
          <w:tcPr>
            <w:tcW w:w="948" w:type="dxa"/>
            <w:tcBorders>
              <w:top w:val="single" w:color="auto" w:sz="12" w:space="0"/>
            </w:tcBorders>
            <w:vAlign w:val="center"/>
          </w:tcPr>
          <w:p>
            <w:pPr>
              <w:snapToGrid w:val="0"/>
              <w:spacing w:line="300" w:lineRule="auto"/>
              <w:jc w:val="center"/>
              <w:rPr>
                <w:rFonts w:ascii="楷体" w:hAnsi="楷体" w:eastAsia="楷体" w:cs="楷体"/>
                <w:szCs w:val="21"/>
              </w:rPr>
            </w:pPr>
            <w:r>
              <w:rPr>
                <w:rFonts w:hint="eastAsia" w:ascii="楷体" w:hAnsi="楷体" w:eastAsia="楷体" w:cs="楷体"/>
                <w:szCs w:val="21"/>
              </w:rPr>
              <w:t>满分值</w:t>
            </w:r>
          </w:p>
        </w:tc>
        <w:tc>
          <w:tcPr>
            <w:tcW w:w="7592" w:type="dxa"/>
            <w:tcBorders>
              <w:top w:val="single" w:color="auto" w:sz="12" w:space="0"/>
            </w:tcBorders>
            <w:vAlign w:val="center"/>
          </w:tcPr>
          <w:p>
            <w:pPr>
              <w:snapToGrid w:val="0"/>
              <w:spacing w:line="300" w:lineRule="auto"/>
              <w:ind w:firstLine="424" w:firstLineChars="202"/>
              <w:jc w:val="center"/>
              <w:rPr>
                <w:rFonts w:ascii="楷体" w:hAnsi="楷体" w:eastAsia="楷体" w:cs="楷体"/>
                <w:szCs w:val="21"/>
              </w:rPr>
            </w:pPr>
            <w:r>
              <w:rPr>
                <w:rFonts w:hint="eastAsia" w:ascii="楷体" w:hAnsi="楷体" w:eastAsia="楷体" w:cs="楷体"/>
                <w:szCs w:val="21"/>
              </w:rPr>
              <w:t>评分内容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348" w:type="dxa"/>
            <w:vAlign w:val="center"/>
          </w:tcPr>
          <w:p>
            <w:pPr>
              <w:snapToGrid w:val="0"/>
              <w:spacing w:line="300" w:lineRule="auto"/>
              <w:jc w:val="center"/>
              <w:rPr>
                <w:rFonts w:ascii="楷体" w:hAnsi="楷体" w:eastAsia="楷体" w:cs="楷体"/>
                <w:szCs w:val="21"/>
              </w:rPr>
            </w:pPr>
            <w:r>
              <w:rPr>
                <w:rFonts w:hint="eastAsia" w:ascii="楷体" w:hAnsi="楷体" w:eastAsia="楷体" w:cs="楷体"/>
                <w:szCs w:val="21"/>
              </w:rPr>
              <w:t>技术参数</w:t>
            </w:r>
          </w:p>
        </w:tc>
        <w:tc>
          <w:tcPr>
            <w:tcW w:w="948" w:type="dxa"/>
            <w:vAlign w:val="center"/>
          </w:tcPr>
          <w:p>
            <w:pPr>
              <w:snapToGrid w:val="0"/>
              <w:spacing w:line="300" w:lineRule="auto"/>
              <w:jc w:val="center"/>
              <w:rPr>
                <w:rFonts w:ascii="楷体" w:hAnsi="楷体" w:eastAsia="楷体" w:cs="楷体"/>
                <w:szCs w:val="21"/>
              </w:rPr>
            </w:pPr>
            <w:r>
              <w:rPr>
                <w:rFonts w:hint="eastAsia" w:ascii="楷体" w:hAnsi="楷体" w:eastAsia="楷体" w:cs="楷体"/>
                <w:szCs w:val="21"/>
              </w:rPr>
              <w:t>35</w:t>
            </w:r>
          </w:p>
        </w:tc>
        <w:tc>
          <w:tcPr>
            <w:tcW w:w="7592" w:type="dxa"/>
            <w:vAlign w:val="center"/>
          </w:tcPr>
          <w:p>
            <w:pPr>
              <w:numPr>
                <w:ilvl w:val="0"/>
                <w:numId w:val="4"/>
              </w:numPr>
              <w:snapToGrid w:val="0"/>
              <w:spacing w:line="300" w:lineRule="auto"/>
              <w:rPr>
                <w:rFonts w:ascii="楷体" w:hAnsi="楷体" w:eastAsia="楷体" w:cs="楷体"/>
                <w:szCs w:val="21"/>
              </w:rPr>
            </w:pPr>
            <w:r>
              <w:rPr>
                <w:rFonts w:hint="eastAsia" w:ascii="楷体" w:hAnsi="楷体" w:eastAsia="楷体" w:cs="楷体"/>
                <w:szCs w:val="21"/>
                <w:lang w:eastAsia="zh-CN"/>
              </w:rPr>
              <w:t>响应</w:t>
            </w:r>
            <w:r>
              <w:rPr>
                <w:rFonts w:hint="eastAsia" w:ascii="楷体" w:hAnsi="楷体" w:eastAsia="楷体" w:cs="楷体"/>
                <w:szCs w:val="21"/>
              </w:rPr>
              <w:t>货物的技术参数完全符合</w:t>
            </w:r>
            <w:r>
              <w:rPr>
                <w:rFonts w:hint="eastAsia" w:ascii="楷体" w:hAnsi="楷体" w:eastAsia="楷体" w:cs="楷体"/>
                <w:szCs w:val="21"/>
                <w:lang w:eastAsia="zh-CN"/>
              </w:rPr>
              <w:t>采购</w:t>
            </w:r>
            <w:r>
              <w:rPr>
                <w:rFonts w:hint="eastAsia" w:ascii="楷体" w:hAnsi="楷体" w:eastAsia="楷体" w:cs="楷体"/>
                <w:szCs w:val="21"/>
              </w:rPr>
              <w:t>要求的得25分；</w:t>
            </w:r>
          </w:p>
          <w:p>
            <w:pPr>
              <w:pStyle w:val="2"/>
              <w:numPr>
                <w:ilvl w:val="0"/>
                <w:numId w:val="4"/>
              </w:numPr>
              <w:spacing w:line="300" w:lineRule="auto"/>
              <w:rPr>
                <w:rFonts w:ascii="楷体" w:hAnsi="楷体" w:eastAsia="楷体" w:cs="楷体"/>
                <w:sz w:val="21"/>
                <w:szCs w:val="21"/>
              </w:rPr>
            </w:pPr>
            <w:r>
              <w:rPr>
                <w:rFonts w:hint="eastAsia" w:ascii="楷体" w:hAnsi="楷体" w:eastAsia="楷体" w:cs="楷体"/>
                <w:sz w:val="21"/>
                <w:szCs w:val="21"/>
              </w:rPr>
              <w:t>优于</w:t>
            </w:r>
            <w:r>
              <w:rPr>
                <w:rFonts w:hint="eastAsia" w:ascii="楷体" w:hAnsi="楷体" w:eastAsia="楷体" w:cs="楷体"/>
                <w:sz w:val="21"/>
                <w:szCs w:val="21"/>
                <w:lang w:eastAsia="zh-CN"/>
              </w:rPr>
              <w:t>采购</w:t>
            </w:r>
            <w:r>
              <w:rPr>
                <w:rFonts w:hint="eastAsia" w:ascii="楷体" w:hAnsi="楷体" w:eastAsia="楷体" w:cs="楷体"/>
                <w:sz w:val="21"/>
                <w:szCs w:val="21"/>
              </w:rPr>
              <w:t>要求的，每项加2分，最多加10分</w:t>
            </w:r>
          </w:p>
          <w:p>
            <w:pPr>
              <w:pStyle w:val="2"/>
              <w:numPr>
                <w:ilvl w:val="0"/>
                <w:numId w:val="4"/>
              </w:numPr>
              <w:spacing w:line="300" w:lineRule="auto"/>
              <w:rPr>
                <w:rFonts w:ascii="楷体" w:hAnsi="楷体" w:eastAsia="楷体" w:cs="楷体"/>
                <w:sz w:val="21"/>
                <w:szCs w:val="21"/>
              </w:rPr>
            </w:pPr>
            <w:r>
              <w:rPr>
                <w:rFonts w:hint="eastAsia" w:ascii="楷体" w:hAnsi="楷体" w:eastAsia="楷体" w:cs="楷体"/>
                <w:sz w:val="21"/>
                <w:szCs w:val="21"/>
              </w:rPr>
              <w:t>低于</w:t>
            </w:r>
            <w:r>
              <w:rPr>
                <w:rFonts w:hint="eastAsia" w:ascii="楷体" w:hAnsi="楷体" w:eastAsia="楷体" w:cs="楷体"/>
                <w:sz w:val="21"/>
                <w:szCs w:val="21"/>
                <w:lang w:eastAsia="zh-CN"/>
              </w:rPr>
              <w:t>采购</w:t>
            </w:r>
            <w:r>
              <w:rPr>
                <w:rFonts w:hint="eastAsia" w:ascii="楷体" w:hAnsi="楷体" w:eastAsia="楷体" w:cs="楷体"/>
                <w:sz w:val="21"/>
                <w:szCs w:val="21"/>
              </w:rPr>
              <w:t>要求的，作无效</w:t>
            </w:r>
            <w:r>
              <w:rPr>
                <w:rFonts w:hint="eastAsia" w:ascii="楷体" w:hAnsi="楷体" w:eastAsia="楷体" w:cs="楷体"/>
                <w:sz w:val="21"/>
                <w:szCs w:val="21"/>
                <w:lang w:eastAsia="zh-CN"/>
              </w:rPr>
              <w:t>磋商响应</w:t>
            </w:r>
            <w:r>
              <w:rPr>
                <w:rFonts w:hint="eastAsia" w:ascii="楷体" w:hAnsi="楷体" w:eastAsia="楷体" w:cs="楷体"/>
                <w:sz w:val="21"/>
                <w:szCs w:val="21"/>
              </w:rPr>
              <w:t>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348" w:type="dxa"/>
            <w:vAlign w:val="center"/>
          </w:tcPr>
          <w:p>
            <w:pPr>
              <w:snapToGrid w:val="0"/>
              <w:spacing w:line="300" w:lineRule="auto"/>
              <w:jc w:val="center"/>
              <w:rPr>
                <w:rFonts w:ascii="楷体" w:hAnsi="楷体" w:eastAsia="楷体" w:cs="楷体"/>
                <w:szCs w:val="21"/>
              </w:rPr>
            </w:pPr>
            <w:r>
              <w:rPr>
                <w:rFonts w:hint="eastAsia" w:ascii="楷体" w:hAnsi="楷体" w:eastAsia="楷体" w:cs="楷体"/>
                <w:szCs w:val="21"/>
              </w:rPr>
              <w:t>业绩</w:t>
            </w:r>
          </w:p>
        </w:tc>
        <w:tc>
          <w:tcPr>
            <w:tcW w:w="948" w:type="dxa"/>
            <w:vAlign w:val="center"/>
          </w:tcPr>
          <w:p>
            <w:pPr>
              <w:snapToGrid w:val="0"/>
              <w:spacing w:line="300" w:lineRule="auto"/>
              <w:jc w:val="center"/>
              <w:rPr>
                <w:rFonts w:ascii="楷体" w:hAnsi="楷体" w:eastAsia="楷体" w:cs="楷体"/>
                <w:szCs w:val="21"/>
              </w:rPr>
            </w:pPr>
            <w:r>
              <w:rPr>
                <w:rFonts w:hint="eastAsia" w:ascii="楷体" w:hAnsi="楷体" w:eastAsia="楷体" w:cs="楷体"/>
                <w:szCs w:val="21"/>
              </w:rPr>
              <w:t>20</w:t>
            </w:r>
          </w:p>
        </w:tc>
        <w:tc>
          <w:tcPr>
            <w:tcW w:w="7592" w:type="dxa"/>
            <w:vAlign w:val="center"/>
          </w:tcPr>
          <w:p>
            <w:pPr>
              <w:snapToGrid w:val="0"/>
              <w:spacing w:line="300" w:lineRule="auto"/>
              <w:rPr>
                <w:rFonts w:ascii="楷体" w:hAnsi="楷体" w:eastAsia="楷体" w:cs="楷体"/>
                <w:szCs w:val="21"/>
              </w:rPr>
            </w:pPr>
            <w:r>
              <w:rPr>
                <w:rFonts w:hint="eastAsia" w:ascii="楷体" w:hAnsi="楷体" w:eastAsia="楷体" w:cs="楷体"/>
                <w:color w:val="000000"/>
                <w:szCs w:val="21"/>
                <w:shd w:val="clear" w:color="auto" w:fill="FFFFFF"/>
                <w:lang w:eastAsia="zh-CN"/>
              </w:rPr>
              <w:t>供应商</w:t>
            </w:r>
            <w:r>
              <w:rPr>
                <w:rFonts w:hint="eastAsia" w:ascii="楷体" w:hAnsi="楷体" w:eastAsia="楷体" w:cs="楷体"/>
                <w:color w:val="000000"/>
                <w:szCs w:val="21"/>
                <w:shd w:val="clear" w:color="auto" w:fill="FFFFFF"/>
              </w:rPr>
              <w:t>自2017年1月1日以来（以合同签订时间为准）取得的合同金额7万元以上（含7万元）的类似道闸业绩，有一个得2分，最多得8分；取得的合同金额15万元以上（含15万元）的类似道闸业绩，有一个得3分，最多得12分。（提供合同及票复印件，原件备查，同一份合同不重复得分。）（本条款要求的业绩为</w:t>
            </w:r>
            <w:r>
              <w:rPr>
                <w:rFonts w:hint="eastAsia" w:ascii="楷体" w:hAnsi="楷体" w:eastAsia="楷体" w:cs="楷体"/>
                <w:color w:val="000000"/>
                <w:szCs w:val="21"/>
                <w:shd w:val="clear" w:color="auto" w:fill="FFFFFF"/>
                <w:lang w:eastAsia="zh-CN"/>
              </w:rPr>
              <w:t>磋商供应商</w:t>
            </w:r>
            <w:r>
              <w:rPr>
                <w:rFonts w:hint="eastAsia" w:ascii="楷体" w:hAnsi="楷体" w:eastAsia="楷体" w:cs="楷体"/>
                <w:color w:val="000000"/>
                <w:szCs w:val="21"/>
                <w:shd w:val="clear" w:color="auto" w:fill="FFFFFF"/>
              </w:rPr>
              <w:t>业绩，如</w:t>
            </w:r>
            <w:r>
              <w:rPr>
                <w:rFonts w:hint="eastAsia" w:ascii="楷体" w:hAnsi="楷体" w:eastAsia="楷体" w:cs="楷体"/>
                <w:color w:val="000000"/>
                <w:szCs w:val="21"/>
                <w:shd w:val="clear" w:color="auto" w:fill="FFFFFF"/>
                <w:lang w:eastAsia="zh-CN"/>
              </w:rPr>
              <w:t>磋商供应商</w:t>
            </w:r>
            <w:r>
              <w:rPr>
                <w:rFonts w:hint="eastAsia" w:ascii="楷体" w:hAnsi="楷体" w:eastAsia="楷体" w:cs="楷体"/>
                <w:color w:val="000000"/>
                <w:szCs w:val="21"/>
                <w:shd w:val="clear" w:color="auto" w:fill="FFFFFF"/>
              </w:rPr>
              <w:t>为代理商，其所投产品生厂厂家的业绩不作为打分依据）。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348" w:type="dxa"/>
            <w:vAlign w:val="center"/>
          </w:tcPr>
          <w:p>
            <w:pPr>
              <w:snapToGrid w:val="0"/>
              <w:spacing w:line="300" w:lineRule="auto"/>
              <w:jc w:val="center"/>
              <w:rPr>
                <w:rFonts w:ascii="楷体" w:hAnsi="楷体" w:eastAsia="楷体" w:cs="楷体"/>
                <w:szCs w:val="21"/>
              </w:rPr>
            </w:pPr>
            <w:r>
              <w:rPr>
                <w:rFonts w:hint="eastAsia" w:ascii="楷体" w:hAnsi="楷体" w:eastAsia="楷体" w:cs="楷体"/>
                <w:szCs w:val="21"/>
              </w:rPr>
              <w:t>生产供货及安装调试计划、措施</w:t>
            </w:r>
          </w:p>
        </w:tc>
        <w:tc>
          <w:tcPr>
            <w:tcW w:w="948" w:type="dxa"/>
            <w:vAlign w:val="center"/>
          </w:tcPr>
          <w:p>
            <w:pPr>
              <w:snapToGrid w:val="0"/>
              <w:spacing w:line="300" w:lineRule="auto"/>
              <w:jc w:val="center"/>
              <w:rPr>
                <w:rFonts w:ascii="楷体" w:hAnsi="楷体" w:eastAsia="楷体" w:cs="楷体"/>
                <w:szCs w:val="21"/>
              </w:rPr>
            </w:pPr>
            <w:r>
              <w:rPr>
                <w:rFonts w:hint="eastAsia" w:ascii="楷体" w:hAnsi="楷体" w:eastAsia="楷体" w:cs="楷体"/>
                <w:szCs w:val="21"/>
              </w:rPr>
              <w:t>5</w:t>
            </w:r>
          </w:p>
        </w:tc>
        <w:tc>
          <w:tcPr>
            <w:tcW w:w="7592" w:type="dxa"/>
            <w:vAlign w:val="center"/>
          </w:tcPr>
          <w:p>
            <w:pPr>
              <w:snapToGrid w:val="0"/>
              <w:spacing w:line="300" w:lineRule="auto"/>
              <w:rPr>
                <w:rFonts w:ascii="楷体" w:hAnsi="楷体" w:eastAsia="楷体" w:cs="楷体"/>
                <w:szCs w:val="21"/>
              </w:rPr>
            </w:pPr>
            <w:r>
              <w:rPr>
                <w:rFonts w:hint="eastAsia" w:ascii="楷体" w:hAnsi="楷体" w:eastAsia="楷体" w:cs="楷体"/>
                <w:color w:val="000000"/>
                <w:szCs w:val="21"/>
                <w:shd w:val="clear" w:color="auto" w:fill="FFFFFF"/>
              </w:rPr>
              <w:t>根据</w:t>
            </w:r>
            <w:r>
              <w:rPr>
                <w:rFonts w:hint="eastAsia" w:ascii="楷体" w:hAnsi="楷体" w:eastAsia="楷体" w:cs="楷体"/>
                <w:color w:val="000000"/>
                <w:szCs w:val="21"/>
                <w:shd w:val="clear" w:color="auto" w:fill="FFFFFF"/>
                <w:lang w:eastAsia="zh-CN"/>
              </w:rPr>
              <w:t>供应商</w:t>
            </w:r>
            <w:r>
              <w:rPr>
                <w:rFonts w:hint="eastAsia" w:ascii="楷体" w:hAnsi="楷体" w:eastAsia="楷体" w:cs="楷体"/>
                <w:color w:val="000000"/>
                <w:szCs w:val="21"/>
                <w:shd w:val="clear" w:color="auto" w:fill="FFFFFF"/>
              </w:rPr>
              <w:t>生产供货、安装调试进度计划、保证措施，安装人员配备等情况进行综合评定，3分≤较好≤5分；1≤一般＜3分；未作说明的本项不得分。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348" w:type="dxa"/>
            <w:vAlign w:val="center"/>
          </w:tcPr>
          <w:p>
            <w:pPr>
              <w:snapToGrid w:val="0"/>
              <w:spacing w:line="300" w:lineRule="auto"/>
              <w:rPr>
                <w:rFonts w:ascii="楷体" w:hAnsi="楷体" w:eastAsia="楷体" w:cs="楷体"/>
                <w:szCs w:val="21"/>
              </w:rPr>
            </w:pPr>
            <w:r>
              <w:rPr>
                <w:rFonts w:hint="eastAsia" w:ascii="楷体" w:hAnsi="楷体" w:eastAsia="楷体" w:cs="楷体"/>
                <w:szCs w:val="21"/>
              </w:rPr>
              <w:t>验收标准</w:t>
            </w:r>
          </w:p>
          <w:p>
            <w:pPr>
              <w:snapToGrid w:val="0"/>
              <w:spacing w:line="300" w:lineRule="auto"/>
              <w:rPr>
                <w:rFonts w:ascii="楷体" w:hAnsi="楷体" w:eastAsia="楷体" w:cs="楷体"/>
                <w:szCs w:val="21"/>
              </w:rPr>
            </w:pPr>
            <w:r>
              <w:rPr>
                <w:rFonts w:hint="eastAsia" w:ascii="楷体" w:hAnsi="楷体" w:eastAsia="楷体" w:cs="楷体"/>
                <w:szCs w:val="21"/>
              </w:rPr>
              <w:t>及方案</w:t>
            </w:r>
          </w:p>
        </w:tc>
        <w:tc>
          <w:tcPr>
            <w:tcW w:w="948" w:type="dxa"/>
            <w:vAlign w:val="center"/>
          </w:tcPr>
          <w:p>
            <w:pPr>
              <w:snapToGrid w:val="0"/>
              <w:spacing w:line="300" w:lineRule="auto"/>
              <w:jc w:val="center"/>
              <w:rPr>
                <w:rFonts w:ascii="楷体" w:hAnsi="楷体" w:eastAsia="楷体" w:cs="楷体"/>
                <w:szCs w:val="21"/>
              </w:rPr>
            </w:pPr>
            <w:r>
              <w:rPr>
                <w:rFonts w:hint="eastAsia" w:ascii="楷体" w:hAnsi="楷体" w:eastAsia="楷体" w:cs="楷体"/>
                <w:szCs w:val="21"/>
              </w:rPr>
              <w:t>5</w:t>
            </w:r>
          </w:p>
        </w:tc>
        <w:tc>
          <w:tcPr>
            <w:tcW w:w="7592" w:type="dxa"/>
            <w:vAlign w:val="center"/>
          </w:tcPr>
          <w:p>
            <w:pPr>
              <w:snapToGrid w:val="0"/>
              <w:spacing w:line="300" w:lineRule="auto"/>
              <w:rPr>
                <w:rFonts w:ascii="楷体" w:hAnsi="楷体" w:eastAsia="楷体" w:cs="楷体"/>
                <w:szCs w:val="21"/>
              </w:rPr>
            </w:pPr>
            <w:r>
              <w:rPr>
                <w:rFonts w:hint="eastAsia" w:ascii="楷体" w:hAnsi="楷体" w:eastAsia="楷体" w:cs="楷体"/>
                <w:szCs w:val="21"/>
              </w:rPr>
              <w:t>验收标准及方案的科学性合理性：</w:t>
            </w:r>
          </w:p>
          <w:p>
            <w:pPr>
              <w:pStyle w:val="2"/>
              <w:spacing w:line="300" w:lineRule="auto"/>
              <w:rPr>
                <w:rFonts w:ascii="楷体" w:hAnsi="楷体" w:eastAsia="楷体" w:cs="楷体"/>
                <w:color w:val="000000"/>
                <w:sz w:val="21"/>
                <w:szCs w:val="21"/>
                <w:shd w:val="clear" w:color="auto" w:fill="FFFFFF"/>
              </w:rPr>
            </w:pPr>
            <w:r>
              <w:rPr>
                <w:rFonts w:hint="eastAsia" w:ascii="楷体" w:hAnsi="楷体" w:eastAsia="楷体" w:cs="楷体"/>
                <w:color w:val="000000"/>
                <w:sz w:val="21"/>
                <w:szCs w:val="21"/>
                <w:shd w:val="clear" w:color="auto" w:fill="FFFFFF"/>
              </w:rPr>
              <w:t>①本项未作说明的，作无效</w:t>
            </w:r>
            <w:r>
              <w:rPr>
                <w:rFonts w:hint="eastAsia" w:ascii="楷体" w:hAnsi="楷体" w:eastAsia="楷体" w:cs="楷体"/>
                <w:color w:val="000000"/>
                <w:sz w:val="21"/>
                <w:szCs w:val="21"/>
                <w:shd w:val="clear" w:color="auto" w:fill="FFFFFF"/>
                <w:lang w:eastAsia="zh-CN"/>
              </w:rPr>
              <w:t>磋商</w:t>
            </w:r>
            <w:r>
              <w:rPr>
                <w:rFonts w:hint="eastAsia" w:ascii="楷体" w:hAnsi="楷体" w:eastAsia="楷体" w:cs="楷体"/>
                <w:color w:val="000000"/>
                <w:sz w:val="21"/>
                <w:szCs w:val="21"/>
                <w:shd w:val="clear" w:color="auto" w:fill="FFFFFF"/>
              </w:rPr>
              <w:t>处理；</w:t>
            </w:r>
          </w:p>
          <w:p>
            <w:pPr>
              <w:pStyle w:val="2"/>
              <w:spacing w:line="300" w:lineRule="auto"/>
              <w:rPr>
                <w:rFonts w:ascii="楷体" w:hAnsi="楷体" w:eastAsia="楷体" w:cs="楷体"/>
                <w:color w:val="000000"/>
                <w:sz w:val="21"/>
                <w:szCs w:val="21"/>
                <w:shd w:val="clear" w:color="auto" w:fill="FFFFFF"/>
              </w:rPr>
            </w:pPr>
            <w:r>
              <w:rPr>
                <w:rFonts w:hint="eastAsia" w:ascii="楷体" w:hAnsi="楷体" w:eastAsia="楷体" w:cs="楷体"/>
                <w:color w:val="000000"/>
                <w:sz w:val="21"/>
                <w:szCs w:val="21"/>
                <w:shd w:val="clear" w:color="auto" w:fill="FFFFFF"/>
              </w:rPr>
              <w:t>②根据各</w:t>
            </w:r>
            <w:r>
              <w:rPr>
                <w:rFonts w:hint="eastAsia" w:ascii="楷体" w:hAnsi="楷体" w:eastAsia="楷体" w:cs="楷体"/>
                <w:color w:val="000000"/>
                <w:sz w:val="21"/>
                <w:szCs w:val="21"/>
                <w:shd w:val="clear" w:color="auto" w:fill="FFFFFF"/>
                <w:lang w:eastAsia="zh-CN"/>
              </w:rPr>
              <w:t>供应商</w:t>
            </w:r>
            <w:r>
              <w:rPr>
                <w:rFonts w:hint="eastAsia" w:ascii="楷体" w:hAnsi="楷体" w:eastAsia="楷体" w:cs="楷体"/>
                <w:color w:val="000000"/>
                <w:sz w:val="21"/>
                <w:szCs w:val="21"/>
                <w:shd w:val="clear" w:color="auto" w:fill="FFFFFF"/>
              </w:rPr>
              <w:t>针对此项的描述，横向比较在0-5分内酌情给分。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348" w:type="dxa"/>
            <w:vAlign w:val="center"/>
          </w:tcPr>
          <w:p>
            <w:pPr>
              <w:snapToGrid w:val="0"/>
              <w:spacing w:line="300" w:lineRule="auto"/>
              <w:rPr>
                <w:rFonts w:ascii="楷体" w:hAnsi="楷体" w:eastAsia="楷体" w:cs="楷体"/>
                <w:szCs w:val="21"/>
              </w:rPr>
            </w:pPr>
            <w:r>
              <w:rPr>
                <w:rFonts w:hint="eastAsia" w:ascii="楷体" w:hAnsi="楷体" w:eastAsia="楷体" w:cs="楷体"/>
                <w:szCs w:val="21"/>
              </w:rPr>
              <w:t>售后服务</w:t>
            </w:r>
          </w:p>
        </w:tc>
        <w:tc>
          <w:tcPr>
            <w:tcW w:w="948" w:type="dxa"/>
            <w:vAlign w:val="center"/>
          </w:tcPr>
          <w:p>
            <w:pPr>
              <w:snapToGrid w:val="0"/>
              <w:spacing w:line="300" w:lineRule="auto"/>
              <w:jc w:val="center"/>
              <w:rPr>
                <w:rFonts w:ascii="楷体" w:hAnsi="楷体" w:eastAsia="楷体" w:cs="楷体"/>
                <w:szCs w:val="21"/>
              </w:rPr>
            </w:pPr>
            <w:r>
              <w:rPr>
                <w:rFonts w:hint="eastAsia" w:ascii="楷体" w:hAnsi="楷体" w:eastAsia="楷体" w:cs="楷体"/>
                <w:szCs w:val="21"/>
              </w:rPr>
              <w:t>5</w:t>
            </w:r>
          </w:p>
        </w:tc>
        <w:tc>
          <w:tcPr>
            <w:tcW w:w="7592" w:type="dxa"/>
            <w:vAlign w:val="center"/>
          </w:tcPr>
          <w:p>
            <w:pPr>
              <w:snapToGrid w:val="0"/>
              <w:spacing w:line="300" w:lineRule="auto"/>
              <w:rPr>
                <w:rFonts w:ascii="楷体" w:hAnsi="楷体" w:eastAsia="楷体" w:cs="楷体"/>
                <w:szCs w:val="21"/>
              </w:rPr>
            </w:pPr>
            <w:r>
              <w:rPr>
                <w:rFonts w:hint="eastAsia" w:ascii="楷体" w:hAnsi="楷体" w:eastAsia="楷体" w:cs="楷体"/>
                <w:color w:val="000000"/>
                <w:szCs w:val="21"/>
                <w:shd w:val="clear" w:color="auto" w:fill="FFFFFF"/>
              </w:rPr>
              <w:t>根据各</w:t>
            </w:r>
            <w:r>
              <w:rPr>
                <w:rFonts w:hint="eastAsia" w:ascii="楷体" w:hAnsi="楷体" w:eastAsia="楷体" w:cs="楷体"/>
                <w:color w:val="000000"/>
                <w:szCs w:val="21"/>
                <w:shd w:val="clear" w:color="auto" w:fill="FFFFFF"/>
                <w:lang w:eastAsia="zh-CN"/>
              </w:rPr>
              <w:t>供应商</w:t>
            </w:r>
            <w:r>
              <w:rPr>
                <w:rFonts w:hint="eastAsia" w:ascii="楷体" w:hAnsi="楷体" w:eastAsia="楷体" w:cs="楷体"/>
                <w:color w:val="000000"/>
                <w:szCs w:val="21"/>
                <w:shd w:val="clear" w:color="auto" w:fill="FFFFFF"/>
              </w:rPr>
              <w:t>针对售后服务承诺的描述，进行横向综合评定，2分＜较好≤5分；1分≤一般≤2分。</w:t>
            </w:r>
          </w:p>
        </w:tc>
      </w:tr>
    </w:tbl>
    <w:p>
      <w:pPr>
        <w:pStyle w:val="37"/>
      </w:pPr>
    </w:p>
    <w:p>
      <w:pPr>
        <w:autoSpaceDE w:val="0"/>
        <w:autoSpaceDN w:val="0"/>
        <w:adjustRightInd w:val="0"/>
        <w:snapToGrid w:val="0"/>
        <w:spacing w:line="300" w:lineRule="auto"/>
        <w:ind w:firstLine="560"/>
        <w:rPr>
          <w:rFonts w:ascii="仿宋_GB2312" w:hAnsi="宋体" w:eastAsia="仿宋_GB2312"/>
          <w:b/>
          <w:sz w:val="28"/>
          <w:szCs w:val="28"/>
        </w:rPr>
      </w:pPr>
      <w:r>
        <w:rPr>
          <w:rFonts w:ascii="仿宋_GB2312" w:hAnsi="宋体" w:eastAsia="仿宋_GB2312"/>
          <w:b/>
          <w:sz w:val="28"/>
          <w:szCs w:val="28"/>
        </w:rPr>
        <w:t>(</w:t>
      </w:r>
      <w:r>
        <w:rPr>
          <w:rFonts w:hint="eastAsia" w:ascii="仿宋_GB2312" w:hAnsi="宋体" w:eastAsia="仿宋_GB2312"/>
          <w:b/>
          <w:sz w:val="28"/>
          <w:szCs w:val="28"/>
        </w:rPr>
        <w:t>二）价格分：30分</w:t>
      </w:r>
    </w:p>
    <w:p>
      <w:pPr>
        <w:autoSpaceDE w:val="0"/>
        <w:autoSpaceDN w:val="0"/>
        <w:adjustRightInd w:val="0"/>
        <w:snapToGrid w:val="0"/>
        <w:spacing w:line="300" w:lineRule="auto"/>
        <w:ind w:firstLine="560"/>
        <w:rPr>
          <w:rFonts w:ascii="仿宋_GB2312" w:hAnsi="宋体" w:eastAsia="仿宋_GB2312"/>
          <w:sz w:val="28"/>
          <w:szCs w:val="28"/>
        </w:rPr>
      </w:pPr>
      <w:r>
        <w:rPr>
          <w:rFonts w:hint="eastAsia" w:ascii="仿宋_GB2312" w:hAnsi="宋体" w:eastAsia="仿宋_GB2312"/>
          <w:sz w:val="28"/>
          <w:szCs w:val="28"/>
        </w:rPr>
        <w:t>综合评分法中的价格分统一采用低价优先法计算，即满足磋商文件要求且最后报价最低的供应商的价格为磋商基准价，其价格分为满分。其他供应商的价格分统一按照下列公式计算：</w:t>
      </w:r>
    </w:p>
    <w:p>
      <w:pPr>
        <w:autoSpaceDE w:val="0"/>
        <w:autoSpaceDN w:val="0"/>
        <w:adjustRightInd w:val="0"/>
        <w:snapToGrid w:val="0"/>
        <w:spacing w:line="300" w:lineRule="auto"/>
        <w:ind w:firstLine="560"/>
        <w:rPr>
          <w:rFonts w:ascii="仿宋_GB2312" w:hAnsi="宋体" w:eastAsia="仿宋_GB2312"/>
          <w:sz w:val="28"/>
          <w:szCs w:val="28"/>
        </w:rPr>
      </w:pPr>
      <w:r>
        <w:rPr>
          <w:rFonts w:hint="eastAsia" w:ascii="仿宋_GB2312" w:hAnsi="宋体" w:eastAsia="仿宋_GB2312"/>
          <w:sz w:val="28"/>
          <w:szCs w:val="28"/>
        </w:rPr>
        <w:t>磋商报价得分</w:t>
      </w:r>
      <w:r>
        <w:rPr>
          <w:rFonts w:ascii="仿宋_GB2312" w:hAnsi="宋体" w:eastAsia="仿宋_GB2312"/>
          <w:sz w:val="28"/>
          <w:szCs w:val="28"/>
        </w:rPr>
        <w:t>=</w:t>
      </w:r>
      <w:r>
        <w:rPr>
          <w:rFonts w:hint="eastAsia" w:ascii="仿宋_GB2312" w:hAnsi="宋体" w:eastAsia="仿宋_GB2312"/>
          <w:sz w:val="28"/>
          <w:szCs w:val="28"/>
        </w:rPr>
        <w:t>（磋商基准价</w:t>
      </w:r>
      <w:r>
        <w:rPr>
          <w:rFonts w:ascii="仿宋_GB2312" w:hAnsi="宋体" w:eastAsia="仿宋_GB2312"/>
          <w:sz w:val="28"/>
          <w:szCs w:val="28"/>
        </w:rPr>
        <w:t>/</w:t>
      </w:r>
      <w:r>
        <w:rPr>
          <w:rFonts w:hint="eastAsia" w:ascii="仿宋_GB2312" w:hAnsi="宋体" w:eastAsia="仿宋_GB2312"/>
          <w:sz w:val="28"/>
          <w:szCs w:val="28"/>
        </w:rPr>
        <w:t>最后磋商报价）×价格权值×</w:t>
      </w:r>
      <w:r>
        <w:rPr>
          <w:rFonts w:ascii="仿宋_GB2312" w:hAnsi="宋体" w:eastAsia="仿宋_GB2312"/>
          <w:sz w:val="28"/>
          <w:szCs w:val="28"/>
        </w:rPr>
        <w:t>100</w:t>
      </w:r>
    </w:p>
    <w:p>
      <w:pPr>
        <w:snapToGrid w:val="0"/>
        <w:spacing w:line="300" w:lineRule="auto"/>
        <w:ind w:firstLine="562" w:firstLineChars="200"/>
        <w:rPr>
          <w:rFonts w:ascii="仿宋_GB2312" w:hAnsi="宋体" w:eastAsia="仿宋_GB2312"/>
          <w:b/>
          <w:sz w:val="28"/>
          <w:szCs w:val="28"/>
        </w:rPr>
      </w:pPr>
      <w:r>
        <w:rPr>
          <w:rFonts w:hint="eastAsia" w:ascii="仿宋_GB2312" w:hAnsi="宋体" w:eastAsia="仿宋_GB2312"/>
          <w:b/>
          <w:sz w:val="28"/>
          <w:szCs w:val="28"/>
          <w:lang w:eastAsia="zh-CN"/>
        </w:rPr>
        <w:t>磋商小组</w:t>
      </w:r>
      <w:r>
        <w:rPr>
          <w:rFonts w:hint="eastAsia" w:ascii="仿宋_GB2312" w:hAnsi="宋体" w:eastAsia="仿宋_GB2312"/>
          <w:b/>
          <w:sz w:val="28"/>
          <w:szCs w:val="28"/>
        </w:rPr>
        <w:t>认为供应商的报价明显低于其他通过符合性审查供应商的报价，有可能影响服务质量或者不能诚信履约的，应当要求其在</w:t>
      </w:r>
      <w:r>
        <w:rPr>
          <w:rFonts w:hint="eastAsia" w:ascii="仿宋_GB2312" w:hAnsi="宋体" w:eastAsia="仿宋_GB2312"/>
          <w:b/>
          <w:sz w:val="28"/>
          <w:szCs w:val="28"/>
          <w:lang w:eastAsia="zh-CN"/>
        </w:rPr>
        <w:t>磋商</w:t>
      </w:r>
      <w:r>
        <w:rPr>
          <w:rFonts w:hint="eastAsia" w:ascii="仿宋_GB2312" w:hAnsi="宋体" w:eastAsia="仿宋_GB2312"/>
          <w:b/>
          <w:sz w:val="28"/>
          <w:szCs w:val="28"/>
        </w:rPr>
        <w:t>现场合理的时间内提供书面说明，必要时提交相关证明材料；供应商不能证明其报价合理性的，</w:t>
      </w:r>
      <w:r>
        <w:rPr>
          <w:rFonts w:hint="eastAsia" w:ascii="仿宋_GB2312" w:hAnsi="宋体" w:eastAsia="仿宋_GB2312"/>
          <w:b/>
          <w:sz w:val="28"/>
          <w:szCs w:val="28"/>
          <w:lang w:eastAsia="zh-CN"/>
        </w:rPr>
        <w:t>磋商小组</w:t>
      </w:r>
      <w:r>
        <w:rPr>
          <w:rFonts w:hint="eastAsia" w:ascii="仿宋_GB2312" w:hAnsi="宋体" w:eastAsia="仿宋_GB2312"/>
          <w:b/>
          <w:sz w:val="28"/>
          <w:szCs w:val="28"/>
        </w:rPr>
        <w:t>当将其作为无效磋商处理。</w:t>
      </w:r>
    </w:p>
    <w:p>
      <w:pPr>
        <w:snapToGrid w:val="0"/>
        <w:spacing w:line="300" w:lineRule="auto"/>
        <w:ind w:firstLine="555"/>
        <w:rPr>
          <w:rFonts w:ascii="仿宋_GB2312" w:hAnsi="宋体" w:eastAsia="仿宋_GB2312"/>
          <w:b/>
          <w:sz w:val="28"/>
          <w:szCs w:val="28"/>
        </w:rPr>
      </w:pPr>
      <w:r>
        <w:rPr>
          <w:rFonts w:hint="eastAsia" w:ascii="仿宋_GB2312" w:hAnsi="宋体" w:eastAsia="仿宋_GB2312"/>
          <w:b/>
          <w:sz w:val="28"/>
          <w:szCs w:val="28"/>
        </w:rPr>
        <w:t>六</w:t>
      </w:r>
      <w:r>
        <w:rPr>
          <w:rFonts w:hint="eastAsia" w:ascii="仿宋_GB2312" w:hAnsi="宋体" w:eastAsia="仿宋_GB2312"/>
          <w:sz w:val="28"/>
          <w:szCs w:val="28"/>
        </w:rPr>
        <w:t>、</w:t>
      </w:r>
      <w:r>
        <w:rPr>
          <w:rFonts w:hint="eastAsia" w:ascii="仿宋_GB2312" w:hAnsi="宋体" w:eastAsia="仿宋_GB2312"/>
          <w:b/>
          <w:sz w:val="28"/>
          <w:szCs w:val="28"/>
        </w:rPr>
        <w:t>变更为其他方式采购的情形</w:t>
      </w:r>
    </w:p>
    <w:p>
      <w:pPr>
        <w:autoSpaceDE w:val="0"/>
        <w:autoSpaceDN w:val="0"/>
        <w:adjustRightInd w:val="0"/>
        <w:snapToGrid w:val="0"/>
        <w:spacing w:line="300" w:lineRule="auto"/>
        <w:ind w:firstLine="560"/>
        <w:rPr>
          <w:rFonts w:ascii="仿宋_GB2312" w:hAnsi="宋体" w:eastAsia="仿宋_GB2312"/>
          <w:sz w:val="28"/>
          <w:szCs w:val="28"/>
        </w:rPr>
      </w:pPr>
      <w:r>
        <w:rPr>
          <w:rFonts w:hint="eastAsia" w:ascii="仿宋_GB2312" w:hAnsi="宋体" w:eastAsia="仿宋_GB2312"/>
          <w:sz w:val="28"/>
          <w:szCs w:val="28"/>
        </w:rPr>
        <w:t>提交响应文件截止时间时参加磋商的供应商不足3家的，及磋商中出现符合专业条件的供应商或对磋商文件作实质响应的供应商不足3家，除采购任务取消外，采购人报告</w:t>
      </w:r>
      <w:r>
        <w:rPr>
          <w:rFonts w:hint="eastAsia" w:ascii="仿宋_GB2312" w:hAnsi="宋体" w:eastAsia="仿宋_GB2312"/>
          <w:sz w:val="28"/>
          <w:szCs w:val="28"/>
          <w:lang w:eastAsia="zh-CN"/>
        </w:rPr>
        <w:t>主管部门审批</w:t>
      </w:r>
      <w:r>
        <w:rPr>
          <w:rFonts w:hint="eastAsia" w:ascii="仿宋_GB2312" w:hAnsi="宋体" w:eastAsia="仿宋_GB2312"/>
          <w:sz w:val="28"/>
          <w:szCs w:val="28"/>
        </w:rPr>
        <w:t>，视情采取其他方式采购。</w:t>
      </w:r>
      <w:r>
        <w:rPr>
          <w:rFonts w:hint="eastAsia" w:ascii="仿宋_GB2312" w:hAnsi="宋体" w:eastAsia="仿宋_GB2312"/>
          <w:sz w:val="28"/>
          <w:szCs w:val="28"/>
          <w:lang w:val="zh-CN"/>
        </w:rPr>
        <w:t>磋商文件中对供应商资质、服务等要求，将作为</w:t>
      </w:r>
      <w:r>
        <w:rPr>
          <w:rFonts w:hint="eastAsia" w:ascii="仿宋_GB2312" w:hAnsi="宋体" w:eastAsia="仿宋_GB2312"/>
          <w:sz w:val="28"/>
          <w:szCs w:val="28"/>
        </w:rPr>
        <w:t>其他</w:t>
      </w:r>
      <w:r>
        <w:rPr>
          <w:rFonts w:hint="eastAsia" w:ascii="仿宋_GB2312" w:hAnsi="宋体" w:eastAsia="仿宋_GB2312"/>
          <w:sz w:val="28"/>
          <w:szCs w:val="28"/>
          <w:lang w:val="zh-CN"/>
        </w:rPr>
        <w:t>方式采购的基本要求和依据。原已经参加磋商并符合要求的供应商，根据自愿原则，参加</w:t>
      </w:r>
      <w:r>
        <w:rPr>
          <w:rFonts w:hint="eastAsia" w:ascii="仿宋_GB2312" w:hAnsi="宋体" w:eastAsia="仿宋_GB2312"/>
          <w:sz w:val="28"/>
          <w:szCs w:val="28"/>
        </w:rPr>
        <w:t>其他</w:t>
      </w:r>
      <w:r>
        <w:rPr>
          <w:rFonts w:hint="eastAsia" w:ascii="仿宋_GB2312" w:hAnsi="宋体" w:eastAsia="仿宋_GB2312"/>
          <w:sz w:val="28"/>
          <w:szCs w:val="28"/>
          <w:lang w:val="zh-CN"/>
        </w:rPr>
        <w:t>方式采购。</w:t>
      </w:r>
    </w:p>
    <w:p>
      <w:pPr>
        <w:pStyle w:val="36"/>
        <w:snapToGrid w:val="0"/>
        <w:spacing w:line="300" w:lineRule="auto"/>
        <w:ind w:firstLine="579"/>
        <w:contextualSpacing/>
        <w:rPr>
          <w:sz w:val="28"/>
        </w:rPr>
      </w:pPr>
      <w:r>
        <w:rPr>
          <w:rFonts w:hint="eastAsia"/>
          <w:b/>
          <w:sz w:val="28"/>
        </w:rPr>
        <w:t>七、</w:t>
      </w:r>
      <w:r>
        <w:rPr>
          <w:rFonts w:hint="eastAsia"/>
          <w:sz w:val="28"/>
        </w:rPr>
        <w:t>出现下列情形之一的，竞争性磋商采购活动终止，发布项目终止公告并说明原因，重新开展采购活动：</w:t>
      </w:r>
    </w:p>
    <w:p>
      <w:pPr>
        <w:pStyle w:val="36"/>
        <w:snapToGrid w:val="0"/>
        <w:spacing w:line="300" w:lineRule="auto"/>
        <w:ind w:firstLine="577"/>
        <w:contextualSpacing/>
        <w:rPr>
          <w:sz w:val="28"/>
        </w:rPr>
      </w:pPr>
      <w:r>
        <w:rPr>
          <w:rFonts w:hint="eastAsia"/>
          <w:sz w:val="28"/>
        </w:rPr>
        <w:t>（一）因情况变化，不再符合规定的竞争性磋商采购方式适用情形的；</w:t>
      </w:r>
    </w:p>
    <w:p>
      <w:pPr>
        <w:pStyle w:val="36"/>
        <w:snapToGrid w:val="0"/>
        <w:spacing w:line="300" w:lineRule="auto"/>
        <w:ind w:firstLine="577"/>
        <w:contextualSpacing/>
        <w:rPr>
          <w:sz w:val="28"/>
        </w:rPr>
      </w:pPr>
      <w:r>
        <w:rPr>
          <w:rFonts w:hint="eastAsia"/>
          <w:sz w:val="28"/>
        </w:rPr>
        <w:t>（二）出现影响采购公正的违法、违规行为的；</w:t>
      </w:r>
    </w:p>
    <w:p>
      <w:pPr>
        <w:pStyle w:val="36"/>
        <w:snapToGrid w:val="0"/>
        <w:spacing w:line="300" w:lineRule="auto"/>
        <w:ind w:firstLine="560" w:firstLineChars="200"/>
        <w:contextualSpacing/>
        <w:rPr>
          <w:sz w:val="28"/>
        </w:rPr>
      </w:pPr>
      <w:r>
        <w:rPr>
          <w:rFonts w:hint="eastAsia"/>
          <w:sz w:val="28"/>
        </w:rPr>
        <w:t>（三）在采购过程中符合要求的供应商或者报价未超过采购预算的供应商不足3家的。</w:t>
      </w:r>
    </w:p>
    <w:p>
      <w:pPr>
        <w:autoSpaceDE w:val="0"/>
        <w:autoSpaceDN w:val="0"/>
        <w:adjustRightInd w:val="0"/>
        <w:snapToGrid w:val="0"/>
        <w:spacing w:line="300" w:lineRule="auto"/>
        <w:ind w:right="210" w:firstLine="562" w:firstLineChars="200"/>
        <w:rPr>
          <w:rFonts w:ascii="仿宋_GB2312" w:eastAsia="仿宋_GB2312"/>
          <w:b/>
          <w:sz w:val="28"/>
          <w:szCs w:val="28"/>
          <w:lang w:val="zh-CN"/>
        </w:rPr>
      </w:pPr>
      <w:r>
        <w:rPr>
          <w:rFonts w:hint="eastAsia" w:ascii="仿宋_GB2312" w:eastAsia="仿宋_GB2312"/>
          <w:b/>
          <w:sz w:val="28"/>
          <w:szCs w:val="28"/>
          <w:lang w:val="zh-CN"/>
        </w:rPr>
        <w:t>八、成交通知</w:t>
      </w:r>
    </w:p>
    <w:p>
      <w:pPr>
        <w:snapToGrid w:val="0"/>
        <w:spacing w:line="300" w:lineRule="auto"/>
        <w:ind w:firstLine="570"/>
        <w:rPr>
          <w:rFonts w:ascii="仿宋_GB2312" w:hAnsi="宋体" w:eastAsia="仿宋_GB2312"/>
          <w:sz w:val="28"/>
          <w:szCs w:val="28"/>
        </w:rPr>
      </w:pPr>
      <w:r>
        <w:rPr>
          <w:rFonts w:hint="eastAsia" w:ascii="仿宋_GB2312" w:hAnsi="宋体" w:eastAsia="仿宋_GB2312"/>
          <w:sz w:val="28"/>
          <w:szCs w:val="28"/>
        </w:rPr>
        <w:t>成交结果在南通市产业技术研究院有限公司网站公告，公告期限为1个工作日。《成交通知书》一经发出，采购人改变成交结果，或者成交供应商放弃成交的，各自承担相应的法律责任。《成交通知书》是采购合同的组成部分。</w:t>
      </w:r>
    </w:p>
    <w:p>
      <w:pPr>
        <w:snapToGrid w:val="0"/>
        <w:spacing w:line="300" w:lineRule="auto"/>
        <w:outlineLvl w:val="0"/>
        <w:rPr>
          <w:rFonts w:ascii="仿宋_GB2312" w:hAnsi="宋体" w:eastAsia="仿宋_GB2312"/>
          <w:b/>
          <w:sz w:val="36"/>
          <w:szCs w:val="36"/>
        </w:rPr>
        <w:sectPr>
          <w:pgSz w:w="11907" w:h="16839"/>
          <w:pgMar w:top="1440" w:right="726" w:bottom="873" w:left="1236" w:header="720" w:footer="720" w:gutter="0"/>
          <w:cols w:space="720" w:num="1"/>
          <w:docGrid w:linePitch="286" w:charSpace="0"/>
        </w:sectPr>
      </w:pPr>
    </w:p>
    <w:p>
      <w:pPr>
        <w:snapToGrid w:val="0"/>
        <w:spacing w:line="300" w:lineRule="auto"/>
        <w:jc w:val="center"/>
        <w:outlineLvl w:val="0"/>
        <w:rPr>
          <w:rFonts w:ascii="仿宋_GB2312" w:hAnsi="宋体" w:eastAsia="仿宋_GB2312"/>
          <w:b/>
          <w:sz w:val="36"/>
          <w:szCs w:val="36"/>
        </w:rPr>
      </w:pPr>
      <w:r>
        <w:rPr>
          <w:rFonts w:hint="eastAsia" w:ascii="仿宋_GB2312" w:hAnsi="宋体" w:eastAsia="仿宋_GB2312"/>
          <w:b/>
          <w:sz w:val="36"/>
          <w:szCs w:val="36"/>
        </w:rPr>
        <w:t>第五部分  合同签订</w:t>
      </w:r>
    </w:p>
    <w:p>
      <w:pPr>
        <w:pStyle w:val="36"/>
        <w:snapToGrid w:val="0"/>
        <w:spacing w:line="300" w:lineRule="auto"/>
        <w:ind w:firstLine="577"/>
        <w:contextualSpacing/>
        <w:rPr>
          <w:sz w:val="28"/>
        </w:rPr>
      </w:pPr>
      <w:r>
        <w:rPr>
          <w:rFonts w:hint="eastAsia"/>
          <w:sz w:val="28"/>
        </w:rPr>
        <w:t>合同格式在南通公共资源交易平台“办事指南-下载专区-竞争性磋商资料”下载。</w:t>
      </w:r>
    </w:p>
    <w:p>
      <w:pPr>
        <w:pStyle w:val="36"/>
        <w:snapToGrid w:val="0"/>
        <w:spacing w:line="300" w:lineRule="auto"/>
        <w:ind w:firstLine="577"/>
        <w:contextualSpacing/>
        <w:rPr>
          <w:sz w:val="28"/>
        </w:rPr>
      </w:pPr>
      <w:r>
        <w:rPr>
          <w:rFonts w:hint="eastAsia"/>
          <w:sz w:val="28"/>
        </w:rPr>
        <w:t>一、成交供应商和采购人在接到《成交通知书》后30日内按照采购文件确定的事项签订政府采购合同。</w:t>
      </w:r>
      <w:r>
        <w:rPr>
          <w:rFonts w:hint="eastAsia"/>
          <w:sz w:val="28"/>
          <w:lang w:val="zh-CN"/>
        </w:rPr>
        <w:t>所签合同不得对采购文件作实质性修改</w:t>
      </w:r>
      <w:r>
        <w:rPr>
          <w:rFonts w:hint="eastAsia"/>
          <w:sz w:val="28"/>
        </w:rPr>
        <w:t>。采购人不得向成交供应商提出不合理的要求作为签订合同的条件，不得与成交供应商私下订立背离采购文件实质性内容的协议。</w:t>
      </w:r>
    </w:p>
    <w:p>
      <w:pPr>
        <w:pStyle w:val="2"/>
        <w:ind w:firstLine="560" w:firstLineChars="200"/>
        <w:rPr>
          <w:rFonts w:ascii="仿宋" w:hAnsi="仿宋" w:eastAsia="仿宋"/>
          <w:snapToGrid w:val="0"/>
          <w:szCs w:val="28"/>
        </w:rPr>
      </w:pPr>
      <w:r>
        <w:rPr>
          <w:rFonts w:hint="eastAsia" w:ascii="仿宋_GB2312" w:hAnsi="宋体" w:eastAsia="仿宋_GB2312"/>
          <w:szCs w:val="28"/>
        </w:rPr>
        <w:t>二、项目结束，经甲方及相关部门验收后，支付合同款项的97%，余款待质保到期、无质量问题，一次性支付尾款。质保期为3年。</w:t>
      </w: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snapToGrid w:val="0"/>
        <w:spacing w:line="300" w:lineRule="auto"/>
        <w:jc w:val="center"/>
        <w:outlineLvl w:val="0"/>
        <w:rPr>
          <w:rFonts w:ascii="仿宋_GB2312" w:hAnsi="宋体" w:eastAsia="仿宋_GB2312"/>
          <w:b/>
          <w:sz w:val="36"/>
          <w:szCs w:val="36"/>
        </w:rPr>
        <w:sectPr>
          <w:pgSz w:w="11907" w:h="16839"/>
          <w:pgMar w:top="1440" w:right="726" w:bottom="873" w:left="1236" w:header="720" w:footer="720" w:gutter="0"/>
          <w:cols w:space="720" w:num="1"/>
          <w:docGrid w:linePitch="286" w:charSpace="0"/>
        </w:sectPr>
      </w:pPr>
    </w:p>
    <w:p>
      <w:pPr>
        <w:snapToGrid w:val="0"/>
        <w:spacing w:line="300" w:lineRule="auto"/>
        <w:jc w:val="center"/>
        <w:outlineLvl w:val="0"/>
        <w:rPr>
          <w:rFonts w:ascii="仿宋_GB2312" w:hAnsi="宋体" w:eastAsia="仿宋_GB2312"/>
          <w:b/>
          <w:sz w:val="36"/>
          <w:szCs w:val="36"/>
        </w:rPr>
      </w:pPr>
      <w:r>
        <w:rPr>
          <w:rFonts w:hint="eastAsia" w:ascii="仿宋_GB2312" w:hAnsi="宋体" w:eastAsia="仿宋_GB2312"/>
          <w:b/>
          <w:sz w:val="36"/>
          <w:szCs w:val="36"/>
        </w:rPr>
        <w:t>第六部分  质疑提出和处理</w:t>
      </w:r>
    </w:p>
    <w:p>
      <w:pPr>
        <w:autoSpaceDE w:val="0"/>
        <w:autoSpaceDN w:val="0"/>
        <w:adjustRightInd w:val="0"/>
        <w:snapToGrid w:val="0"/>
        <w:spacing w:line="300" w:lineRule="auto"/>
        <w:ind w:firstLine="700" w:firstLineChars="250"/>
        <w:contextualSpacing/>
        <w:rPr>
          <w:rFonts w:ascii="仿宋_GB2312" w:hAnsi="宋体" w:eastAsia="仿宋_GB2312" w:cs="宋体"/>
          <w:kern w:val="0"/>
          <w:sz w:val="28"/>
          <w:szCs w:val="28"/>
          <w:lang w:val="zh-CN"/>
        </w:rPr>
      </w:pPr>
    </w:p>
    <w:p>
      <w:pPr>
        <w:pStyle w:val="9"/>
        <w:snapToGrid w:val="0"/>
        <w:spacing w:line="300" w:lineRule="auto"/>
        <w:ind w:left="0" w:leftChars="0" w:firstLine="560" w:firstLineChars="200"/>
        <w:contextualSpacing/>
        <w:rPr>
          <w:rFonts w:ascii="仿宋_GB2312" w:hAnsi="宋体" w:eastAsia="仿宋_GB2312"/>
          <w:sz w:val="28"/>
          <w:szCs w:val="28"/>
        </w:rPr>
      </w:pPr>
      <w:r>
        <w:rPr>
          <w:rFonts w:hint="eastAsia" w:ascii="仿宋_GB2312" w:hAnsi="宋体" w:eastAsia="仿宋_GB2312"/>
          <w:sz w:val="28"/>
          <w:szCs w:val="28"/>
        </w:rPr>
        <w:t>格式请在南通公共资源交易平台“办事指南-下载专区-有关质疑资料”下载</w:t>
      </w:r>
    </w:p>
    <w:p>
      <w:pPr>
        <w:autoSpaceDE w:val="0"/>
        <w:autoSpaceDN w:val="0"/>
        <w:adjustRightInd w:val="0"/>
        <w:snapToGrid w:val="0"/>
        <w:spacing w:line="300" w:lineRule="auto"/>
        <w:ind w:firstLine="562" w:firstLineChars="200"/>
        <w:contextualSpacing/>
        <w:rPr>
          <w:rFonts w:ascii="仿宋_GB2312" w:hAnsi="宋体" w:eastAsia="仿宋_GB2312" w:cs="宋体"/>
          <w:b/>
          <w:kern w:val="0"/>
          <w:sz w:val="28"/>
          <w:szCs w:val="28"/>
        </w:rPr>
      </w:pPr>
      <w:r>
        <w:rPr>
          <w:rFonts w:hint="eastAsia" w:ascii="仿宋_GB2312" w:hAnsi="宋体" w:eastAsia="仿宋_GB2312" w:cs="宋体"/>
          <w:b/>
          <w:kern w:val="0"/>
          <w:sz w:val="28"/>
          <w:szCs w:val="28"/>
        </w:rPr>
        <w:t>一、质疑的提出</w:t>
      </w:r>
    </w:p>
    <w:p>
      <w:pPr>
        <w:autoSpaceDE w:val="0"/>
        <w:autoSpaceDN w:val="0"/>
        <w:adjustRightInd w:val="0"/>
        <w:snapToGrid w:val="0"/>
        <w:spacing w:line="300" w:lineRule="auto"/>
        <w:ind w:firstLine="560" w:firstLineChars="200"/>
        <w:contextualSpacing/>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1、质疑人必须是直接参加本次磋商活动的当事人。</w:t>
      </w:r>
    </w:p>
    <w:p>
      <w:pPr>
        <w:snapToGrid w:val="0"/>
        <w:spacing w:line="300" w:lineRule="auto"/>
        <w:ind w:firstLine="560" w:firstLineChars="200"/>
        <w:outlineLvl w:val="0"/>
        <w:rPr>
          <w:rFonts w:ascii="仿宋_GB2312" w:eastAsia="仿宋_GB2312"/>
          <w:sz w:val="28"/>
          <w:szCs w:val="28"/>
        </w:rPr>
      </w:pPr>
      <w:r>
        <w:rPr>
          <w:rFonts w:hint="eastAsia" w:ascii="仿宋_GB2312" w:eastAsia="仿宋_GB2312"/>
          <w:sz w:val="28"/>
          <w:szCs w:val="28"/>
        </w:rPr>
        <w:t>2、领取磋商文件的供应商应根据第二部分“磋商须知”中第一点第1项的约定提出疑问；质疑提出的有效时限，见《中华人民共和国政府采购法实施条例》第五十三条。</w:t>
      </w:r>
    </w:p>
    <w:p>
      <w:pPr>
        <w:snapToGrid w:val="0"/>
        <w:spacing w:line="300" w:lineRule="auto"/>
        <w:ind w:firstLine="560" w:firstLineChars="200"/>
        <w:outlineLvl w:val="0"/>
        <w:rPr>
          <w:rFonts w:ascii="仿宋_GB2312" w:eastAsia="仿宋_GB2312"/>
          <w:sz w:val="28"/>
          <w:szCs w:val="28"/>
        </w:rPr>
      </w:pPr>
      <w:r>
        <w:rPr>
          <w:rFonts w:hint="eastAsia" w:ascii="仿宋_GB2312" w:eastAsia="仿宋_GB2312"/>
          <w:sz w:val="28"/>
          <w:szCs w:val="28"/>
        </w:rPr>
        <w:t>在磋商过程中，凡主持人或磋商小组明确提出须由供应商确认的事项，供应商当场无异议的，事后不得提出质疑。</w:t>
      </w:r>
    </w:p>
    <w:p>
      <w:pPr>
        <w:autoSpaceDE w:val="0"/>
        <w:autoSpaceDN w:val="0"/>
        <w:adjustRightInd w:val="0"/>
        <w:snapToGrid w:val="0"/>
        <w:spacing w:line="300" w:lineRule="auto"/>
        <w:ind w:firstLine="560" w:firstLineChars="200"/>
        <w:contextualSpacing/>
        <w:rPr>
          <w:rFonts w:ascii="仿宋_GB2312" w:hAnsi="宋体" w:eastAsia="仿宋_GB2312" w:cs="宋体"/>
          <w:kern w:val="0"/>
          <w:sz w:val="28"/>
          <w:szCs w:val="28"/>
          <w:lang w:val="zh-CN"/>
        </w:rPr>
      </w:pPr>
      <w:r>
        <w:rPr>
          <w:rFonts w:hint="eastAsia" w:ascii="仿宋_GB2312" w:hAnsi="宋体" w:eastAsia="仿宋_GB2312" w:cs="宋体"/>
          <w:kern w:val="0"/>
          <w:sz w:val="28"/>
          <w:szCs w:val="28"/>
        </w:rPr>
        <w:t>3</w:t>
      </w:r>
      <w:r>
        <w:rPr>
          <w:rFonts w:hint="eastAsia" w:ascii="仿宋_GB2312" w:hAnsi="宋体" w:eastAsia="仿宋_GB2312" w:cs="宋体"/>
          <w:kern w:val="0"/>
          <w:sz w:val="28"/>
          <w:szCs w:val="28"/>
          <w:lang w:val="zh-CN"/>
        </w:rPr>
        <w:t>、提出质疑时，必须坚持“谁主张，谁举证”、“实事求是”的原则，不能臆测。属于须由法定部门调查、侦查或先行作出相关认定的事项，质疑人应当依法申请具有法定职权的部门查清、认定，并将相关结果提供给采购人。采购人不具有法定调查、认定权限。</w:t>
      </w:r>
    </w:p>
    <w:p>
      <w:pPr>
        <w:snapToGrid w:val="0"/>
        <w:spacing w:line="300" w:lineRule="auto"/>
        <w:ind w:firstLine="560" w:firstLineChars="200"/>
        <w:contextualSpacing/>
        <w:rPr>
          <w:rFonts w:ascii="仿宋_GB2312" w:hAnsi="Verdana" w:eastAsia="仿宋_GB2312" w:cs="宋体"/>
          <w:kern w:val="0"/>
          <w:sz w:val="28"/>
          <w:szCs w:val="28"/>
        </w:rPr>
      </w:pPr>
      <w:r>
        <w:rPr>
          <w:rFonts w:hint="eastAsia" w:ascii="仿宋_GB2312" w:hAnsi="宋体" w:eastAsia="仿宋_GB2312"/>
          <w:sz w:val="28"/>
          <w:szCs w:val="28"/>
        </w:rPr>
        <w:t>4、对本次磋商有质疑的，</w:t>
      </w:r>
      <w:r>
        <w:rPr>
          <w:rFonts w:hint="eastAsia" w:ascii="仿宋_GB2312" w:eastAsia="仿宋_GB2312"/>
          <w:sz w:val="28"/>
          <w:szCs w:val="28"/>
        </w:rPr>
        <w:t>实行实名制，不得进行虚假、恶意质疑。质疑人应在质疑有效期内</w:t>
      </w:r>
      <w:r>
        <w:rPr>
          <w:rFonts w:hint="eastAsia" w:ascii="仿宋_GB2312" w:hAnsi="宋体" w:eastAsia="仿宋_GB2312"/>
          <w:sz w:val="28"/>
          <w:szCs w:val="28"/>
        </w:rPr>
        <w:t>以书面形式</w:t>
      </w:r>
      <w:r>
        <w:rPr>
          <w:rFonts w:hint="eastAsia" w:ascii="仿宋_GB2312" w:hAnsi="宋体" w:eastAsia="仿宋_GB2312" w:cs="宋体"/>
          <w:kern w:val="0"/>
          <w:sz w:val="28"/>
          <w:szCs w:val="28"/>
          <w:lang w:val="zh-CN"/>
        </w:rPr>
        <w:t>提出《质疑函》（格式请下载）</w:t>
      </w:r>
      <w:r>
        <w:rPr>
          <w:rFonts w:hint="eastAsia" w:ascii="仿宋_GB2312" w:hAnsi="宋体" w:eastAsia="仿宋_GB2312"/>
          <w:sz w:val="28"/>
          <w:szCs w:val="28"/>
        </w:rPr>
        <w:t>，《质疑函》内容应</w:t>
      </w:r>
      <w:r>
        <w:rPr>
          <w:rFonts w:hint="eastAsia" w:ascii="仿宋_GB2312" w:hAnsi="宋体" w:eastAsia="仿宋_GB2312" w:cs="宋体"/>
          <w:kern w:val="0"/>
          <w:sz w:val="28"/>
          <w:szCs w:val="28"/>
          <w:lang w:val="zh-CN"/>
        </w:rPr>
        <w:t>包括</w:t>
      </w:r>
      <w:r>
        <w:rPr>
          <w:rFonts w:hint="eastAsia" w:ascii="仿宋_GB2312" w:hAnsi="宋体" w:eastAsia="仿宋_GB2312"/>
          <w:sz w:val="28"/>
          <w:szCs w:val="28"/>
        </w:rPr>
        <w:t>质疑事项、主要内容、事实依据、适应法规条款、佐证材料等。同时，</w:t>
      </w:r>
      <w:r>
        <w:rPr>
          <w:rFonts w:hint="eastAsia" w:ascii="仿宋_GB2312" w:hAnsi="Verdana" w:eastAsia="仿宋_GB2312" w:cs="宋体"/>
          <w:kern w:val="0"/>
          <w:sz w:val="28"/>
          <w:szCs w:val="28"/>
        </w:rPr>
        <w:t>质疑人应保证其提出的质疑内容及</w:t>
      </w:r>
      <w:r>
        <w:rPr>
          <w:rFonts w:hint="eastAsia" w:ascii="仿宋_GB2312" w:hAnsi="宋体" w:eastAsia="仿宋_GB2312"/>
          <w:sz w:val="28"/>
          <w:szCs w:val="28"/>
        </w:rPr>
        <w:t>相关佐证材料</w:t>
      </w:r>
      <w:r>
        <w:rPr>
          <w:rFonts w:hint="eastAsia" w:ascii="仿宋_GB2312" w:hAnsi="Verdana" w:eastAsia="仿宋_GB2312" w:cs="宋体"/>
          <w:kern w:val="0"/>
          <w:sz w:val="28"/>
          <w:szCs w:val="28"/>
        </w:rPr>
        <w:t>的真实性及来源的合法性，并承担相应的法律责任。</w:t>
      </w:r>
    </w:p>
    <w:p>
      <w:pPr>
        <w:snapToGrid w:val="0"/>
        <w:spacing w:line="300" w:lineRule="auto"/>
        <w:ind w:firstLine="560" w:firstLineChars="200"/>
        <w:contextualSpacing/>
        <w:rPr>
          <w:rFonts w:ascii="仿宋_GB2312" w:eastAsia="仿宋_GB2312"/>
          <w:sz w:val="28"/>
          <w:szCs w:val="28"/>
        </w:rPr>
      </w:pPr>
      <w:r>
        <w:rPr>
          <w:rFonts w:hint="eastAsia" w:ascii="仿宋_GB2312" w:hAnsi="宋体" w:eastAsia="仿宋_GB2312" w:cs="宋体"/>
          <w:kern w:val="0"/>
          <w:sz w:val="28"/>
          <w:szCs w:val="28"/>
          <w:lang w:val="zh-CN"/>
        </w:rPr>
        <w:t>对不能提供</w:t>
      </w:r>
      <w:r>
        <w:rPr>
          <w:rFonts w:hint="eastAsia" w:ascii="仿宋_GB2312" w:hAnsi="宋体" w:eastAsia="仿宋_GB2312"/>
          <w:sz w:val="28"/>
          <w:szCs w:val="28"/>
        </w:rPr>
        <w:t>相关佐证材料的、涉及商业秘密的、</w:t>
      </w:r>
      <w:r>
        <w:rPr>
          <w:rFonts w:hint="eastAsia" w:ascii="仿宋_GB2312" w:eastAsia="仿宋_GB2312"/>
          <w:sz w:val="28"/>
          <w:szCs w:val="28"/>
        </w:rPr>
        <w:t>非书面形式的、非送达的、匿名的《质疑函》将不予受理。</w:t>
      </w:r>
    </w:p>
    <w:p>
      <w:pPr>
        <w:snapToGrid w:val="0"/>
        <w:spacing w:line="300" w:lineRule="auto"/>
        <w:ind w:firstLine="560" w:firstLineChars="200"/>
        <w:contextualSpacing/>
        <w:rPr>
          <w:rFonts w:ascii="仿宋_GB2312" w:eastAsia="仿宋_GB2312"/>
          <w:sz w:val="28"/>
          <w:szCs w:val="28"/>
        </w:rPr>
      </w:pPr>
      <w:r>
        <w:rPr>
          <w:rFonts w:hint="eastAsia" w:ascii="仿宋_GB2312" w:hAnsi="宋体" w:eastAsia="仿宋_GB2312"/>
          <w:sz w:val="28"/>
          <w:szCs w:val="28"/>
        </w:rPr>
        <w:t>相关佐证材料</w:t>
      </w:r>
      <w:r>
        <w:rPr>
          <w:rFonts w:hint="eastAsia" w:ascii="仿宋_GB2312" w:eastAsia="仿宋_GB2312"/>
          <w:sz w:val="28"/>
          <w:szCs w:val="28"/>
        </w:rPr>
        <w:t>要具备客观性、关联性、合法性，无法查实的（如宣传册、媒体报道、猜测、推理等）不能作为佐证材料。</w:t>
      </w:r>
    </w:p>
    <w:p>
      <w:pPr>
        <w:snapToGrid w:val="0"/>
        <w:spacing w:line="300" w:lineRule="auto"/>
        <w:ind w:firstLine="562" w:firstLineChars="200"/>
        <w:contextualSpacing/>
        <w:rPr>
          <w:rFonts w:ascii="仿宋_GB2312" w:hAnsi="Verdana" w:eastAsia="仿宋_GB2312" w:cs="宋体"/>
          <w:b/>
          <w:kern w:val="0"/>
          <w:sz w:val="28"/>
          <w:szCs w:val="28"/>
        </w:rPr>
      </w:pPr>
      <w:r>
        <w:rPr>
          <w:rFonts w:hint="eastAsia" w:ascii="仿宋_GB2312" w:eastAsia="仿宋_GB2312"/>
          <w:b/>
          <w:sz w:val="28"/>
          <w:szCs w:val="28"/>
        </w:rPr>
        <w:t>采购代理机构、采购单位</w:t>
      </w:r>
      <w:r>
        <w:rPr>
          <w:rFonts w:hint="eastAsia" w:ascii="仿宋_GB2312" w:hAnsi="Verdana" w:eastAsia="仿宋_GB2312" w:cs="宋体"/>
          <w:b/>
          <w:kern w:val="0"/>
          <w:sz w:val="28"/>
          <w:szCs w:val="28"/>
        </w:rPr>
        <w:t>不负责搜集相关佐证材料等工作。</w:t>
      </w:r>
    </w:p>
    <w:p>
      <w:pPr>
        <w:autoSpaceDE w:val="0"/>
        <w:autoSpaceDN w:val="0"/>
        <w:adjustRightInd w:val="0"/>
        <w:snapToGrid w:val="0"/>
        <w:spacing w:line="300" w:lineRule="auto"/>
        <w:ind w:firstLine="562" w:firstLineChars="200"/>
        <w:contextualSpacing/>
        <w:rPr>
          <w:rFonts w:ascii="仿宋_GB2312" w:hAnsi="宋体" w:eastAsia="仿宋_GB2312"/>
          <w:b/>
          <w:sz w:val="28"/>
          <w:szCs w:val="28"/>
        </w:rPr>
      </w:pPr>
      <w:r>
        <w:rPr>
          <w:rFonts w:hint="eastAsia" w:ascii="仿宋_GB2312" w:hAnsi="宋体" w:eastAsia="仿宋_GB2312"/>
          <w:b/>
          <w:sz w:val="28"/>
          <w:szCs w:val="28"/>
        </w:rPr>
        <w:t>二、《质疑函》的受理和回复</w:t>
      </w:r>
    </w:p>
    <w:p>
      <w:pPr>
        <w:autoSpaceDE w:val="0"/>
        <w:autoSpaceDN w:val="0"/>
        <w:adjustRightInd w:val="0"/>
        <w:snapToGrid w:val="0"/>
        <w:spacing w:line="300" w:lineRule="auto"/>
        <w:ind w:firstLine="560" w:firstLineChars="200"/>
        <w:contextualSpacing/>
        <w:rPr>
          <w:rFonts w:ascii="仿宋_GB2312" w:hAnsi="宋体" w:eastAsia="仿宋_GB2312" w:cs="宋体"/>
          <w:kern w:val="0"/>
          <w:sz w:val="28"/>
          <w:szCs w:val="28"/>
          <w:lang w:val="zh-CN"/>
        </w:rPr>
      </w:pPr>
      <w:r>
        <w:rPr>
          <w:rFonts w:hint="eastAsia" w:ascii="仿宋_GB2312" w:hAnsi="宋体" w:eastAsia="仿宋_GB2312"/>
          <w:sz w:val="28"/>
          <w:szCs w:val="28"/>
        </w:rPr>
        <w:t>1、《质疑函》须由质疑人的法定代表人或参加本次磋商授权人</w:t>
      </w:r>
      <w:r>
        <w:rPr>
          <w:rFonts w:hint="eastAsia" w:ascii="仿宋_GB2312" w:hAnsi="宋体" w:eastAsia="仿宋_GB2312" w:cs="宋体"/>
          <w:kern w:val="0"/>
          <w:sz w:val="28"/>
          <w:szCs w:val="28"/>
          <w:lang w:val="zh-CN"/>
        </w:rPr>
        <w:t>送达采购单位和采购代理机构。</w:t>
      </w:r>
    </w:p>
    <w:p>
      <w:pPr>
        <w:autoSpaceDE w:val="0"/>
        <w:autoSpaceDN w:val="0"/>
        <w:adjustRightInd w:val="0"/>
        <w:snapToGrid w:val="0"/>
        <w:spacing w:line="300" w:lineRule="auto"/>
        <w:ind w:firstLine="560" w:firstLineChars="200"/>
        <w:contextualSpacing/>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2、对符合提出质疑要求的，采购单位和采购代理机构签收并出具《质疑受理通知书》。在处理过程中，发现需要质疑人进一步补充相关佐证材料的，请质疑人在规定的时间内提供，质疑回复时间相应顺延。质疑人不能按时提供相关佐证材料的，视同放弃质疑。</w:t>
      </w:r>
    </w:p>
    <w:p>
      <w:pPr>
        <w:autoSpaceDE w:val="0"/>
        <w:autoSpaceDN w:val="0"/>
        <w:adjustRightInd w:val="0"/>
        <w:snapToGrid w:val="0"/>
        <w:spacing w:line="300" w:lineRule="auto"/>
        <w:ind w:firstLine="560" w:firstLineChars="200"/>
        <w:contextualSpacing/>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3、对不符合提出质疑要求的，出具《质疑退回通知书》并提出相关补充材料要求，质疑人未在规定的时间内提供补充佐证材料的，视同放弃质疑。</w:t>
      </w:r>
    </w:p>
    <w:p>
      <w:pPr>
        <w:autoSpaceDE w:val="0"/>
        <w:autoSpaceDN w:val="0"/>
        <w:adjustRightInd w:val="0"/>
        <w:snapToGrid w:val="0"/>
        <w:spacing w:line="300" w:lineRule="auto"/>
        <w:ind w:firstLine="560" w:firstLineChars="200"/>
        <w:contextualSpacing/>
        <w:rPr>
          <w:rFonts w:ascii="仿宋_GB2312" w:hAnsi="Verdana" w:eastAsia="仿宋_GB2312" w:cs="宋体"/>
          <w:kern w:val="0"/>
          <w:sz w:val="28"/>
          <w:szCs w:val="28"/>
        </w:rPr>
      </w:pPr>
      <w:r>
        <w:rPr>
          <w:rFonts w:hint="eastAsia" w:ascii="仿宋_GB2312" w:hAnsi="宋体" w:eastAsia="仿宋_GB2312" w:cs="宋体"/>
          <w:kern w:val="0"/>
          <w:sz w:val="28"/>
          <w:szCs w:val="28"/>
          <w:lang w:val="zh-CN"/>
        </w:rPr>
        <w:t>4、</w:t>
      </w:r>
      <w:r>
        <w:rPr>
          <w:rFonts w:hint="eastAsia" w:ascii="仿宋_GB2312" w:hAnsi="宋体" w:eastAsia="仿宋_GB2312"/>
          <w:sz w:val="28"/>
          <w:szCs w:val="28"/>
        </w:rPr>
        <w:t>采购人</w:t>
      </w:r>
      <w:r>
        <w:rPr>
          <w:rFonts w:hint="eastAsia" w:ascii="仿宋_GB2312" w:hAnsi="宋体" w:eastAsia="仿宋_GB2312" w:cs="宋体"/>
          <w:kern w:val="0"/>
          <w:sz w:val="28"/>
          <w:szCs w:val="28"/>
          <w:lang w:val="zh-CN"/>
        </w:rPr>
        <w:t>、采购代理机构</w:t>
      </w:r>
      <w:r>
        <w:rPr>
          <w:rFonts w:hint="eastAsia" w:ascii="仿宋_GB2312" w:hAnsi="Verdana" w:eastAsia="仿宋_GB2312" w:cs="宋体"/>
          <w:kern w:val="0"/>
          <w:sz w:val="28"/>
          <w:szCs w:val="28"/>
        </w:rPr>
        <w:t>负责将质疑人提出的质疑相关材料提供给相关专家或磋商小组审核，并将审核意见回复质疑人。</w:t>
      </w:r>
    </w:p>
    <w:p>
      <w:pPr>
        <w:widowControl/>
        <w:tabs>
          <w:tab w:val="left" w:pos="0"/>
        </w:tabs>
        <w:snapToGrid w:val="0"/>
        <w:spacing w:line="300" w:lineRule="auto"/>
        <w:ind w:firstLine="560" w:firstLineChars="200"/>
        <w:contextualSpacing/>
        <w:rPr>
          <w:rFonts w:ascii="仿宋_GB2312" w:hAnsi="宋体" w:eastAsia="仿宋_GB2312" w:cs="宋体"/>
          <w:kern w:val="0"/>
          <w:sz w:val="28"/>
          <w:szCs w:val="28"/>
        </w:rPr>
      </w:pPr>
      <w:r>
        <w:rPr>
          <w:rFonts w:hint="eastAsia" w:ascii="仿宋_GB2312" w:eastAsia="仿宋_GB2312"/>
          <w:sz w:val="28"/>
          <w:szCs w:val="28"/>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autoSpaceDE w:val="0"/>
        <w:autoSpaceDN w:val="0"/>
        <w:adjustRightInd w:val="0"/>
        <w:snapToGrid w:val="0"/>
        <w:spacing w:line="300" w:lineRule="auto"/>
        <w:ind w:firstLine="560" w:firstLineChars="200"/>
        <w:contextualSpacing/>
        <w:rPr>
          <w:rFonts w:ascii="仿宋_GB2312" w:hAnsi="宋体" w:eastAsia="仿宋_GB2312" w:cs="宋体"/>
          <w:kern w:val="0"/>
          <w:sz w:val="28"/>
          <w:szCs w:val="28"/>
          <w:lang w:val="zh-CN"/>
        </w:rPr>
      </w:pPr>
      <w:r>
        <w:rPr>
          <w:rFonts w:hint="eastAsia" w:ascii="仿宋_GB2312" w:hAnsi="宋体" w:eastAsia="仿宋_GB2312" w:cs="宋体"/>
          <w:kern w:val="0"/>
          <w:sz w:val="28"/>
          <w:szCs w:val="28"/>
        </w:rPr>
        <w:t>5、</w:t>
      </w:r>
      <w:r>
        <w:rPr>
          <w:rFonts w:hint="eastAsia" w:ascii="仿宋_GB2312" w:hAnsi="宋体" w:eastAsia="仿宋_GB2312" w:cs="宋体"/>
          <w:kern w:val="0"/>
          <w:sz w:val="28"/>
          <w:szCs w:val="28"/>
          <w:lang w:val="zh-CN"/>
        </w:rPr>
        <w:t>因质疑情况复杂，组织论证或审查时间较长的，</w:t>
      </w:r>
      <w:r>
        <w:rPr>
          <w:rFonts w:hint="eastAsia" w:ascii="仿宋_GB2312" w:hAnsi="宋体" w:eastAsia="仿宋_GB2312"/>
          <w:sz w:val="28"/>
          <w:szCs w:val="28"/>
        </w:rPr>
        <w:t>采购人</w:t>
      </w:r>
      <w:r>
        <w:rPr>
          <w:rFonts w:hint="eastAsia" w:ascii="仿宋_GB2312" w:hAnsi="宋体" w:eastAsia="仿宋_GB2312" w:cs="宋体"/>
          <w:kern w:val="0"/>
          <w:sz w:val="28"/>
          <w:szCs w:val="28"/>
          <w:lang w:val="zh-CN"/>
        </w:rPr>
        <w:t>、采购代理机构以书面形式通知质疑人，可适当延长质疑回复处理时间。</w:t>
      </w:r>
    </w:p>
    <w:p>
      <w:pPr>
        <w:autoSpaceDE w:val="0"/>
        <w:autoSpaceDN w:val="0"/>
        <w:adjustRightInd w:val="0"/>
        <w:snapToGrid w:val="0"/>
        <w:spacing w:line="300" w:lineRule="auto"/>
        <w:ind w:firstLine="562" w:firstLineChars="200"/>
        <w:contextualSpacing/>
        <w:rPr>
          <w:rFonts w:ascii="仿宋_GB2312" w:hAnsi="宋体" w:eastAsia="仿宋_GB2312" w:cs="宋体"/>
          <w:b/>
          <w:kern w:val="0"/>
          <w:sz w:val="28"/>
          <w:szCs w:val="28"/>
          <w:lang w:val="zh-CN"/>
        </w:rPr>
      </w:pPr>
      <w:r>
        <w:rPr>
          <w:rFonts w:hint="eastAsia" w:ascii="仿宋_GB2312" w:hAnsi="宋体" w:eastAsia="仿宋_GB2312" w:cs="宋体"/>
          <w:b/>
          <w:kern w:val="0"/>
          <w:sz w:val="28"/>
          <w:szCs w:val="28"/>
          <w:lang w:val="zh-CN"/>
        </w:rPr>
        <w:t>三、质疑处理</w:t>
      </w:r>
    </w:p>
    <w:p>
      <w:pPr>
        <w:autoSpaceDE w:val="0"/>
        <w:autoSpaceDN w:val="0"/>
        <w:adjustRightInd w:val="0"/>
        <w:snapToGrid w:val="0"/>
        <w:spacing w:line="300" w:lineRule="auto"/>
        <w:ind w:firstLine="562" w:firstLineChars="200"/>
        <w:contextualSpacing/>
        <w:rPr>
          <w:rFonts w:ascii="仿宋_GB2312" w:hAnsi="宋体" w:eastAsia="仿宋_GB2312" w:cs="宋体"/>
          <w:kern w:val="0"/>
          <w:sz w:val="28"/>
          <w:szCs w:val="28"/>
          <w:lang w:val="zh-CN"/>
        </w:rPr>
      </w:pPr>
      <w:r>
        <w:rPr>
          <w:rFonts w:hint="eastAsia" w:ascii="仿宋_GB2312" w:hAnsi="宋体" w:eastAsia="仿宋_GB2312" w:cs="宋体"/>
          <w:b/>
          <w:kern w:val="0"/>
          <w:sz w:val="28"/>
          <w:szCs w:val="28"/>
          <w:lang w:val="zh-CN"/>
        </w:rPr>
        <w:t>1、质疑成立的处理。</w:t>
      </w:r>
      <w:r>
        <w:rPr>
          <w:rFonts w:hint="eastAsia" w:ascii="仿宋_GB2312" w:hAnsi="宋体" w:eastAsia="仿宋_GB2312" w:cs="宋体"/>
          <w:kern w:val="0"/>
          <w:sz w:val="28"/>
          <w:szCs w:val="28"/>
          <w:lang w:val="zh-CN"/>
        </w:rPr>
        <w:t>采购人终止采购，并建议有关部门给相关当事人予以处理。</w:t>
      </w:r>
    </w:p>
    <w:p>
      <w:pPr>
        <w:snapToGrid w:val="0"/>
        <w:spacing w:line="300" w:lineRule="auto"/>
        <w:ind w:firstLine="570"/>
        <w:contextualSpacing/>
        <w:rPr>
          <w:rFonts w:ascii="仿宋_GB2312" w:hAnsi="宋体" w:eastAsia="仿宋_GB2312" w:cs="宋体"/>
          <w:b/>
          <w:kern w:val="0"/>
          <w:sz w:val="28"/>
          <w:szCs w:val="28"/>
          <w:lang w:val="zh-CN"/>
        </w:rPr>
      </w:pPr>
      <w:r>
        <w:rPr>
          <w:rFonts w:hint="eastAsia" w:ascii="仿宋_GB2312" w:hAnsi="宋体" w:eastAsia="仿宋_GB2312" w:cs="宋体"/>
          <w:b/>
          <w:kern w:val="0"/>
          <w:sz w:val="28"/>
          <w:szCs w:val="28"/>
          <w:lang w:val="zh-CN"/>
        </w:rPr>
        <w:t>2、质疑不成立的处理。</w:t>
      </w:r>
    </w:p>
    <w:p>
      <w:pPr>
        <w:snapToGrid w:val="0"/>
        <w:spacing w:line="300" w:lineRule="auto"/>
        <w:ind w:firstLine="570"/>
        <w:contextualSpacing/>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1）质疑人书面《申请撤回质疑函》的，不作违约处理。</w:t>
      </w:r>
    </w:p>
    <w:p>
      <w:pPr>
        <w:snapToGrid w:val="0"/>
        <w:spacing w:line="300" w:lineRule="auto"/>
        <w:ind w:firstLine="560" w:firstLineChars="200"/>
        <w:contextualSpacing/>
        <w:rPr>
          <w:rFonts w:ascii="仿宋_GB2312" w:hAnsi="宋体" w:eastAsia="仿宋_GB2312" w:cs="宋体"/>
          <w:kern w:val="0"/>
          <w:sz w:val="28"/>
          <w:szCs w:val="28"/>
          <w:lang w:val="zh-CN"/>
        </w:rPr>
      </w:pPr>
      <w:r>
        <w:rPr>
          <w:rFonts w:hint="eastAsia" w:ascii="仿宋_GB2312" w:eastAsia="仿宋_GB2312"/>
          <w:sz w:val="28"/>
          <w:szCs w:val="28"/>
        </w:rPr>
        <w:t>2）质疑人在规定的时间内不配合进行质疑调查处理的，按自动撤回《质疑函》处理。</w:t>
      </w:r>
    </w:p>
    <w:p>
      <w:pPr>
        <w:snapToGrid w:val="0"/>
        <w:spacing w:line="300" w:lineRule="auto"/>
        <w:ind w:firstLine="555"/>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3）质疑人不按《质疑函》格式就提出质疑的，作违约处理。</w:t>
      </w:r>
    </w:p>
    <w:p>
      <w:pPr>
        <w:snapToGrid w:val="0"/>
        <w:spacing w:line="300" w:lineRule="auto"/>
        <w:ind w:firstLine="555"/>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4）质疑人虽提供了相关</w:t>
      </w:r>
      <w:r>
        <w:rPr>
          <w:rFonts w:hint="eastAsia" w:ascii="仿宋_GB2312" w:hAnsi="宋体" w:eastAsia="仿宋_GB2312"/>
          <w:sz w:val="28"/>
          <w:szCs w:val="28"/>
        </w:rPr>
        <w:t>佐证材料</w:t>
      </w:r>
      <w:r>
        <w:rPr>
          <w:rFonts w:hint="eastAsia" w:ascii="仿宋_GB2312" w:hAnsi="宋体" w:eastAsia="仿宋_GB2312" w:cs="宋体"/>
          <w:kern w:val="0"/>
          <w:sz w:val="28"/>
          <w:szCs w:val="28"/>
          <w:lang w:val="zh-CN"/>
        </w:rPr>
        <w:t>，但不能证明其质疑成立的，采购人请质疑人补充相关</w:t>
      </w:r>
      <w:r>
        <w:rPr>
          <w:rFonts w:hint="eastAsia" w:ascii="仿宋_GB2312" w:hAnsi="宋体" w:eastAsia="仿宋_GB2312"/>
          <w:sz w:val="28"/>
          <w:szCs w:val="28"/>
        </w:rPr>
        <w:t>佐证材料</w:t>
      </w:r>
      <w:r>
        <w:rPr>
          <w:rFonts w:hint="eastAsia" w:ascii="仿宋_GB2312" w:hAnsi="宋体" w:eastAsia="仿宋_GB2312" w:cs="宋体"/>
          <w:kern w:val="0"/>
          <w:sz w:val="28"/>
          <w:szCs w:val="28"/>
          <w:lang w:val="zh-CN"/>
        </w:rPr>
        <w:t>，仍不能证明其质疑成立的，作违约处理。采购人</w:t>
      </w:r>
      <w:r>
        <w:rPr>
          <w:rFonts w:hint="eastAsia" w:ascii="仿宋_GB2312" w:hAnsi="宋体" w:eastAsia="仿宋_GB2312"/>
          <w:sz w:val="28"/>
          <w:szCs w:val="28"/>
        </w:rPr>
        <w:t>有权将其</w:t>
      </w:r>
      <w:r>
        <w:rPr>
          <w:rFonts w:hint="eastAsia" w:ascii="仿宋_GB2312" w:hAnsi="宋体" w:eastAsia="仿宋_GB2312" w:cs="宋体"/>
          <w:kern w:val="0"/>
          <w:sz w:val="28"/>
          <w:szCs w:val="28"/>
          <w:lang w:val="zh-CN"/>
        </w:rPr>
        <w:t>列入不良供应商名单。</w:t>
      </w:r>
    </w:p>
    <w:p>
      <w:pPr>
        <w:snapToGrid w:val="0"/>
        <w:spacing w:line="300" w:lineRule="auto"/>
        <w:ind w:firstLine="555"/>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5）质疑人不能提供相关</w:t>
      </w:r>
      <w:r>
        <w:rPr>
          <w:rFonts w:hint="eastAsia" w:ascii="仿宋_GB2312" w:hAnsi="宋体" w:eastAsia="仿宋_GB2312"/>
          <w:sz w:val="28"/>
          <w:szCs w:val="28"/>
        </w:rPr>
        <w:t>佐证材料</w:t>
      </w:r>
      <w:r>
        <w:rPr>
          <w:rFonts w:hint="eastAsia" w:ascii="仿宋_GB2312" w:hAnsi="宋体" w:eastAsia="仿宋_GB2312" w:cs="宋体"/>
          <w:kern w:val="0"/>
          <w:sz w:val="28"/>
          <w:szCs w:val="28"/>
          <w:lang w:val="zh-CN"/>
        </w:rPr>
        <w:t>的，采购人已指出，质疑人仍然坚持提出质疑的，作违约处理。</w:t>
      </w:r>
    </w:p>
    <w:p>
      <w:pPr>
        <w:snapToGrid w:val="0"/>
        <w:spacing w:line="300" w:lineRule="auto"/>
        <w:ind w:firstLine="555"/>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6）对明显有违事实的、经相关专家或磋商小组认定无依据的、经其他供应商举证无依据的质疑，作违约处理，采购人</w:t>
      </w:r>
      <w:r>
        <w:rPr>
          <w:rFonts w:hint="eastAsia" w:ascii="仿宋_GB2312" w:hAnsi="宋体" w:eastAsia="仿宋_GB2312"/>
          <w:sz w:val="28"/>
          <w:szCs w:val="28"/>
        </w:rPr>
        <w:t>有权将其</w:t>
      </w:r>
      <w:r>
        <w:rPr>
          <w:rFonts w:hint="eastAsia" w:ascii="仿宋_GB2312" w:hAnsi="宋体" w:eastAsia="仿宋_GB2312" w:cs="宋体"/>
          <w:kern w:val="0"/>
          <w:sz w:val="28"/>
          <w:szCs w:val="28"/>
          <w:lang w:val="zh-CN"/>
        </w:rPr>
        <w:t>列入不良供应商名单；</w:t>
      </w:r>
      <w:r>
        <w:rPr>
          <w:rFonts w:hint="eastAsia" w:ascii="仿宋_GB2312" w:hAnsi="宋体" w:eastAsia="仿宋_GB2312"/>
          <w:sz w:val="28"/>
          <w:szCs w:val="28"/>
        </w:rPr>
        <w:t>同时，</w:t>
      </w:r>
      <w:r>
        <w:rPr>
          <w:rFonts w:hint="eastAsia" w:ascii="仿宋_GB2312" w:hAnsi="宋体" w:eastAsia="仿宋_GB2312" w:cs="宋体"/>
          <w:kern w:val="0"/>
          <w:sz w:val="28"/>
          <w:szCs w:val="28"/>
          <w:lang w:val="zh-CN"/>
        </w:rPr>
        <w:t>对其中每一项不成立的质疑给予质疑人1年内禁入由采购人组织的政府采购活动的违约处理，依次类推；视情在南通公共资源交易平台、省、国家级相关媒体予以披露。</w:t>
      </w:r>
    </w:p>
    <w:p>
      <w:pPr>
        <w:snapToGrid w:val="0"/>
        <w:spacing w:line="300" w:lineRule="auto"/>
        <w:ind w:firstLine="537" w:firstLineChars="192"/>
        <w:contextualSpacing/>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7）</w:t>
      </w:r>
      <w:r>
        <w:rPr>
          <w:rFonts w:hint="eastAsia" w:ascii="仿宋_GB2312" w:hAnsi="宋体" w:eastAsia="仿宋_GB2312"/>
          <w:sz w:val="28"/>
          <w:szCs w:val="28"/>
        </w:rPr>
        <w:t>质疑人</w:t>
      </w:r>
      <w:r>
        <w:rPr>
          <w:rFonts w:hint="eastAsia" w:ascii="仿宋_GB2312" w:hAnsi="宋体" w:eastAsia="仿宋_GB2312" w:cs="宋体"/>
          <w:kern w:val="0"/>
          <w:sz w:val="28"/>
          <w:szCs w:val="28"/>
          <w:lang w:val="zh-CN"/>
        </w:rPr>
        <w:t>承担使用虚假材料或恶意方式质疑的法律责任。</w:t>
      </w:r>
    </w:p>
    <w:p>
      <w:pPr>
        <w:autoSpaceDE w:val="0"/>
        <w:autoSpaceDN w:val="0"/>
        <w:adjustRightInd w:val="0"/>
        <w:snapToGrid w:val="0"/>
        <w:spacing w:line="300" w:lineRule="auto"/>
        <w:ind w:firstLine="562" w:firstLineChars="200"/>
        <w:contextualSpacing/>
        <w:rPr>
          <w:rFonts w:ascii="仿宋_GB2312" w:hAnsi="宋体" w:eastAsia="仿宋_GB2312" w:cs="宋体"/>
          <w:b/>
          <w:kern w:val="0"/>
          <w:sz w:val="28"/>
          <w:szCs w:val="28"/>
          <w:lang w:val="zh-CN"/>
        </w:rPr>
      </w:pPr>
      <w:r>
        <w:rPr>
          <w:rFonts w:hint="eastAsia" w:ascii="仿宋_GB2312" w:hAnsi="宋体" w:eastAsia="仿宋_GB2312" w:cs="宋体"/>
          <w:b/>
          <w:kern w:val="0"/>
          <w:sz w:val="28"/>
          <w:szCs w:val="28"/>
          <w:lang w:val="zh-CN"/>
        </w:rPr>
        <w:t>四、无佐证材料的举报作违约处理。</w:t>
      </w:r>
      <w:r>
        <w:rPr>
          <w:rFonts w:hint="eastAsia" w:ascii="仿宋_GB2312" w:hAnsi="宋体" w:eastAsia="仿宋_GB2312" w:cs="宋体"/>
          <w:kern w:val="0"/>
          <w:sz w:val="28"/>
          <w:szCs w:val="28"/>
          <w:lang w:val="zh-CN"/>
        </w:rPr>
        <w:t>供应商不得进行不提供相关佐证材料（含无法查实的</w:t>
      </w:r>
      <w:r>
        <w:rPr>
          <w:rFonts w:hint="eastAsia" w:ascii="仿宋_GB2312" w:eastAsia="仿宋_GB2312"/>
          <w:sz w:val="28"/>
          <w:szCs w:val="28"/>
        </w:rPr>
        <w:t>如宣传册、媒体报道、猜测、推理等）</w:t>
      </w:r>
      <w:r>
        <w:rPr>
          <w:rFonts w:hint="eastAsia" w:ascii="仿宋_GB2312" w:hAnsi="宋体" w:eastAsia="仿宋_GB2312" w:cs="宋体"/>
          <w:kern w:val="0"/>
          <w:sz w:val="28"/>
          <w:szCs w:val="28"/>
          <w:lang w:val="zh-CN"/>
        </w:rPr>
        <w:t>向有关部门的举报，否则作违约处理。采购人有权取消其相应的会员供应商资格，同时对其在1至3年内禁入由采购人组织的政府采购活动的违约处理。</w:t>
      </w:r>
    </w:p>
    <w:p>
      <w:pPr>
        <w:snapToGrid w:val="0"/>
        <w:spacing w:line="300" w:lineRule="auto"/>
        <w:ind w:firstLine="562" w:firstLineChars="200"/>
        <w:contextualSpacing/>
        <w:rPr>
          <w:rFonts w:ascii="仿宋_GB2312" w:eastAsia="仿宋_GB2312"/>
          <w:sz w:val="28"/>
          <w:szCs w:val="28"/>
        </w:rPr>
      </w:pPr>
      <w:r>
        <w:rPr>
          <w:rFonts w:hint="eastAsia" w:ascii="仿宋_GB2312" w:eastAsia="仿宋_GB2312"/>
          <w:b/>
          <w:sz w:val="28"/>
          <w:szCs w:val="28"/>
        </w:rPr>
        <w:t>五、投诉不成立的作违约处理。</w:t>
      </w:r>
      <w:r>
        <w:rPr>
          <w:rFonts w:hint="eastAsia" w:ascii="仿宋_GB2312" w:eastAsia="仿宋_GB2312"/>
          <w:sz w:val="28"/>
          <w:szCs w:val="28"/>
        </w:rPr>
        <w:t>供应商进行质疑后，采购人回复质疑不成立，供应商仍进行投诉的，并最终投诉不成立的，作违约处理。</w:t>
      </w:r>
      <w:r>
        <w:rPr>
          <w:rFonts w:hint="eastAsia" w:ascii="仿宋_GB2312" w:hAnsi="宋体" w:eastAsia="仿宋_GB2312" w:cs="宋体"/>
          <w:kern w:val="0"/>
          <w:sz w:val="28"/>
          <w:szCs w:val="28"/>
          <w:lang w:val="zh-CN"/>
        </w:rPr>
        <w:t>采购人有权取消其相应的会员供应商资格，同时对其在1至3年内禁入由采购人组织的政府采购活动的违约处理。</w:t>
      </w:r>
    </w:p>
    <w:p>
      <w:pPr>
        <w:snapToGrid w:val="0"/>
        <w:spacing w:line="300" w:lineRule="auto"/>
        <w:ind w:firstLine="570"/>
        <w:contextualSpacing/>
        <w:rPr>
          <w:rFonts w:ascii="仿宋_GB2312" w:hAnsi="宋体" w:eastAsia="仿宋_GB2312"/>
          <w:sz w:val="28"/>
          <w:szCs w:val="28"/>
        </w:rPr>
      </w:pPr>
      <w:r>
        <w:rPr>
          <w:rFonts w:hint="eastAsia" w:ascii="仿宋_GB2312" w:hAnsi="宋体" w:eastAsia="仿宋_GB2312"/>
          <w:b/>
          <w:sz w:val="28"/>
          <w:szCs w:val="28"/>
        </w:rPr>
        <w:t>六、《质疑函》、《质疑回复函》，质疑、举报、投诉不成立的</w:t>
      </w:r>
      <w:r>
        <w:rPr>
          <w:rFonts w:hint="eastAsia" w:ascii="仿宋_GB2312" w:hAnsi="宋体" w:eastAsia="仿宋_GB2312"/>
          <w:sz w:val="28"/>
          <w:szCs w:val="28"/>
        </w:rPr>
        <w:t>等相关情况，视情在南通公共资源交易平台、省、国家级等相关媒体予以披露。并建议相关政府采购机构对该供应商同步实施1至3年内禁入。</w:t>
      </w:r>
    </w:p>
    <w:p>
      <w:pPr>
        <w:autoSpaceDE w:val="0"/>
        <w:autoSpaceDN w:val="0"/>
        <w:adjustRightInd w:val="0"/>
        <w:snapToGrid w:val="0"/>
        <w:spacing w:line="300" w:lineRule="auto"/>
        <w:contextualSpacing/>
        <w:rPr>
          <w:rFonts w:ascii="仿宋_GB2312" w:hAnsi="宋体" w:eastAsia="仿宋_GB2312" w:cs="宋体"/>
          <w:kern w:val="0"/>
          <w:sz w:val="28"/>
          <w:szCs w:val="28"/>
        </w:rPr>
      </w:pPr>
    </w:p>
    <w:p>
      <w:pPr>
        <w:autoSpaceDE w:val="0"/>
        <w:autoSpaceDN w:val="0"/>
        <w:adjustRightInd w:val="0"/>
        <w:snapToGrid w:val="0"/>
        <w:spacing w:line="300" w:lineRule="auto"/>
        <w:ind w:left="3630" w:right="210" w:hanging="3092"/>
        <w:outlineLvl w:val="0"/>
        <w:rPr>
          <w:rFonts w:ascii="仿宋_GB2312" w:eastAsia="仿宋_GB2312"/>
          <w:b/>
          <w:bCs/>
          <w:sz w:val="28"/>
          <w:szCs w:val="28"/>
        </w:rPr>
      </w:pPr>
    </w:p>
    <w:p>
      <w:pPr>
        <w:autoSpaceDE w:val="0"/>
        <w:autoSpaceDN w:val="0"/>
        <w:adjustRightInd w:val="0"/>
        <w:snapToGrid w:val="0"/>
        <w:spacing w:line="300" w:lineRule="auto"/>
        <w:ind w:left="4513" w:right="210" w:hanging="4513"/>
        <w:jc w:val="center"/>
        <w:rPr>
          <w:rFonts w:ascii="仿宋_GB2312" w:eastAsia="仿宋_GB2312"/>
          <w:b/>
          <w:bCs/>
          <w:sz w:val="36"/>
          <w:szCs w:val="36"/>
          <w:lang w:val="zh-CN"/>
        </w:rPr>
      </w:pPr>
    </w:p>
    <w:p>
      <w:pPr>
        <w:autoSpaceDE w:val="0"/>
        <w:autoSpaceDN w:val="0"/>
        <w:adjustRightInd w:val="0"/>
        <w:snapToGrid w:val="0"/>
        <w:spacing w:line="300" w:lineRule="auto"/>
        <w:ind w:left="4513" w:right="210" w:hanging="4513"/>
        <w:jc w:val="center"/>
        <w:rPr>
          <w:rFonts w:ascii="仿宋_GB2312" w:eastAsia="仿宋_GB2312"/>
          <w:b/>
          <w:bCs/>
          <w:sz w:val="36"/>
          <w:szCs w:val="36"/>
          <w:lang w:val="zh-CN"/>
        </w:rPr>
      </w:pPr>
    </w:p>
    <w:p>
      <w:pPr>
        <w:autoSpaceDE w:val="0"/>
        <w:autoSpaceDN w:val="0"/>
        <w:adjustRightInd w:val="0"/>
        <w:snapToGrid w:val="0"/>
        <w:spacing w:line="300" w:lineRule="auto"/>
        <w:ind w:left="4513" w:right="210" w:hanging="4513"/>
        <w:jc w:val="center"/>
        <w:rPr>
          <w:rFonts w:ascii="仿宋_GB2312" w:eastAsia="仿宋_GB2312"/>
          <w:b/>
          <w:bCs/>
          <w:sz w:val="36"/>
          <w:szCs w:val="36"/>
          <w:lang w:val="zh-CN"/>
        </w:rPr>
      </w:pPr>
    </w:p>
    <w:p>
      <w:pPr>
        <w:autoSpaceDE w:val="0"/>
        <w:autoSpaceDN w:val="0"/>
        <w:adjustRightInd w:val="0"/>
        <w:snapToGrid w:val="0"/>
        <w:spacing w:line="300" w:lineRule="auto"/>
        <w:ind w:left="4513" w:right="210" w:hanging="4513"/>
        <w:jc w:val="center"/>
        <w:rPr>
          <w:rFonts w:ascii="仿宋_GB2312" w:eastAsia="仿宋_GB2312"/>
          <w:b/>
          <w:bCs/>
          <w:sz w:val="36"/>
          <w:szCs w:val="36"/>
          <w:lang w:val="zh-CN"/>
        </w:rPr>
      </w:pPr>
    </w:p>
    <w:p>
      <w:pPr>
        <w:autoSpaceDE w:val="0"/>
        <w:autoSpaceDN w:val="0"/>
        <w:adjustRightInd w:val="0"/>
        <w:snapToGrid w:val="0"/>
        <w:spacing w:line="300" w:lineRule="auto"/>
        <w:ind w:left="4513" w:right="210" w:hanging="4513"/>
        <w:jc w:val="center"/>
        <w:rPr>
          <w:rFonts w:ascii="仿宋_GB2312" w:eastAsia="仿宋_GB2312"/>
          <w:b/>
          <w:bCs/>
          <w:sz w:val="36"/>
          <w:szCs w:val="36"/>
          <w:lang w:val="zh-CN"/>
        </w:rPr>
      </w:pPr>
    </w:p>
    <w:p>
      <w:pPr>
        <w:autoSpaceDE w:val="0"/>
        <w:autoSpaceDN w:val="0"/>
        <w:adjustRightInd w:val="0"/>
        <w:snapToGrid w:val="0"/>
        <w:spacing w:line="300" w:lineRule="auto"/>
        <w:ind w:left="4513" w:right="210" w:hanging="4513"/>
        <w:jc w:val="center"/>
        <w:rPr>
          <w:rFonts w:ascii="仿宋_GB2312" w:eastAsia="仿宋_GB2312"/>
          <w:b/>
          <w:bCs/>
          <w:sz w:val="36"/>
          <w:szCs w:val="36"/>
          <w:lang w:val="zh-CN"/>
        </w:rPr>
      </w:pPr>
    </w:p>
    <w:p>
      <w:pPr>
        <w:autoSpaceDE w:val="0"/>
        <w:autoSpaceDN w:val="0"/>
        <w:adjustRightInd w:val="0"/>
        <w:snapToGrid w:val="0"/>
        <w:spacing w:line="300" w:lineRule="auto"/>
        <w:ind w:left="4513" w:right="210" w:hanging="4513"/>
        <w:jc w:val="center"/>
        <w:rPr>
          <w:rFonts w:ascii="仿宋_GB2312" w:eastAsia="仿宋_GB2312"/>
          <w:b/>
          <w:bCs/>
          <w:sz w:val="36"/>
          <w:szCs w:val="36"/>
          <w:lang w:val="zh-CN"/>
        </w:rPr>
      </w:pPr>
    </w:p>
    <w:p>
      <w:pPr>
        <w:autoSpaceDE w:val="0"/>
        <w:autoSpaceDN w:val="0"/>
        <w:adjustRightInd w:val="0"/>
        <w:snapToGrid w:val="0"/>
        <w:spacing w:line="300" w:lineRule="auto"/>
        <w:ind w:left="4513" w:right="210" w:hanging="4513"/>
        <w:jc w:val="center"/>
        <w:rPr>
          <w:rFonts w:ascii="仿宋_GB2312" w:eastAsia="仿宋_GB2312"/>
          <w:b/>
          <w:bCs/>
          <w:sz w:val="36"/>
          <w:szCs w:val="36"/>
          <w:lang w:val="zh-CN"/>
        </w:rPr>
      </w:pPr>
    </w:p>
    <w:p>
      <w:pPr>
        <w:autoSpaceDE w:val="0"/>
        <w:autoSpaceDN w:val="0"/>
        <w:adjustRightInd w:val="0"/>
        <w:snapToGrid w:val="0"/>
        <w:spacing w:line="300" w:lineRule="auto"/>
        <w:ind w:left="4513" w:right="210" w:hanging="4513"/>
        <w:jc w:val="center"/>
        <w:rPr>
          <w:rFonts w:ascii="仿宋_GB2312" w:eastAsia="仿宋_GB2312"/>
          <w:b/>
          <w:bCs/>
          <w:sz w:val="36"/>
          <w:szCs w:val="36"/>
          <w:lang w:val="zh-CN"/>
        </w:rPr>
        <w:sectPr>
          <w:pgSz w:w="11907" w:h="16839"/>
          <w:pgMar w:top="1440" w:right="726" w:bottom="873" w:left="1236" w:header="720" w:footer="720" w:gutter="0"/>
          <w:cols w:space="720" w:num="1"/>
          <w:docGrid w:linePitch="286" w:charSpace="0"/>
        </w:sectPr>
      </w:pPr>
    </w:p>
    <w:p>
      <w:pPr>
        <w:autoSpaceDE w:val="0"/>
        <w:autoSpaceDN w:val="0"/>
        <w:adjustRightInd w:val="0"/>
        <w:snapToGrid w:val="0"/>
        <w:spacing w:line="300" w:lineRule="auto"/>
        <w:ind w:left="4513" w:right="210" w:hanging="4513"/>
        <w:jc w:val="center"/>
        <w:rPr>
          <w:rFonts w:ascii="仿宋_GB2312" w:eastAsia="仿宋_GB2312"/>
          <w:b/>
          <w:bCs/>
          <w:sz w:val="36"/>
          <w:szCs w:val="36"/>
          <w:lang w:val="zh-CN"/>
        </w:rPr>
      </w:pPr>
      <w:r>
        <w:rPr>
          <w:rFonts w:hint="eastAsia" w:ascii="仿宋_GB2312" w:eastAsia="仿宋_GB2312"/>
          <w:b/>
          <w:bCs/>
          <w:sz w:val="36"/>
          <w:szCs w:val="36"/>
          <w:lang w:val="zh-CN"/>
        </w:rPr>
        <w:t>第七部分  响应文件组成</w:t>
      </w:r>
    </w:p>
    <w:p>
      <w:pPr>
        <w:tabs>
          <w:tab w:val="left" w:pos="1260"/>
        </w:tabs>
        <w:autoSpaceDE w:val="0"/>
        <w:autoSpaceDN w:val="0"/>
        <w:adjustRightInd w:val="0"/>
        <w:snapToGrid w:val="0"/>
        <w:spacing w:line="300" w:lineRule="auto"/>
        <w:ind w:right="210" w:firstLine="540"/>
        <w:rPr>
          <w:rFonts w:ascii="仿宋_GB2312" w:eastAsia="仿宋_GB2312"/>
          <w:sz w:val="28"/>
          <w:szCs w:val="28"/>
        </w:rPr>
      </w:pPr>
      <w:r>
        <w:rPr>
          <w:rFonts w:hint="eastAsia" w:ascii="仿宋_GB2312" w:eastAsia="仿宋_GB2312"/>
          <w:sz w:val="28"/>
          <w:szCs w:val="28"/>
          <w:lang w:val="zh-CN"/>
        </w:rPr>
        <w:t>请</w:t>
      </w:r>
      <w:r>
        <w:rPr>
          <w:rFonts w:hint="eastAsia" w:ascii="仿宋_GB2312" w:eastAsia="仿宋_GB2312"/>
          <w:sz w:val="28"/>
          <w:szCs w:val="28"/>
        </w:rPr>
        <w:t>在南通公共资源交易平台“办事指南-下载专区-竞争性磋商资料”下载</w:t>
      </w:r>
    </w:p>
    <w:p>
      <w:pPr>
        <w:snapToGrid w:val="0"/>
        <w:spacing w:line="300" w:lineRule="auto"/>
        <w:ind w:firstLine="555"/>
        <w:jc w:val="center"/>
        <w:rPr>
          <w:rFonts w:ascii="仿宋_GB2312" w:hAnsi="宋体" w:eastAsia="仿宋_GB2312"/>
          <w:b/>
          <w:sz w:val="28"/>
          <w:szCs w:val="28"/>
        </w:rPr>
      </w:pPr>
    </w:p>
    <w:p>
      <w:pPr>
        <w:snapToGrid w:val="0"/>
        <w:spacing w:line="300" w:lineRule="auto"/>
        <w:ind w:firstLine="555"/>
        <w:jc w:val="left"/>
        <w:rPr>
          <w:rFonts w:ascii="仿宋_GB2312" w:hAnsi="宋体" w:eastAsia="仿宋_GB2312"/>
          <w:b/>
          <w:sz w:val="28"/>
          <w:szCs w:val="28"/>
        </w:rPr>
      </w:pPr>
      <w:r>
        <w:rPr>
          <w:rFonts w:hint="eastAsia" w:ascii="仿宋_GB2312" w:hAnsi="宋体" w:eastAsia="仿宋_GB2312"/>
          <w:b/>
          <w:sz w:val="28"/>
          <w:szCs w:val="28"/>
        </w:rPr>
        <w:t>响应文件由资格审查证明材料、价格响应文件、商务技术响应文件三部分组成。</w:t>
      </w:r>
    </w:p>
    <w:p>
      <w:pPr>
        <w:snapToGrid w:val="0"/>
        <w:spacing w:line="300" w:lineRule="auto"/>
        <w:ind w:left="549"/>
        <w:contextualSpacing/>
        <w:rPr>
          <w:rFonts w:ascii="仿宋_GB2312" w:eastAsia="仿宋_GB2312"/>
          <w:b/>
          <w:sz w:val="28"/>
          <w:szCs w:val="28"/>
        </w:rPr>
      </w:pPr>
      <w:r>
        <w:rPr>
          <w:rFonts w:hint="eastAsia" w:ascii="仿宋_GB2312" w:eastAsia="仿宋_GB2312"/>
          <w:b/>
          <w:sz w:val="28"/>
          <w:szCs w:val="28"/>
        </w:rPr>
        <w:t>一、资格审查证明材料（一正两副，</w:t>
      </w:r>
      <w:r>
        <w:rPr>
          <w:rFonts w:hint="eastAsia" w:ascii="仿宋_GB2312" w:eastAsia="仿宋_GB2312"/>
          <w:b/>
          <w:sz w:val="28"/>
        </w:rPr>
        <w:t>单独密封并牢固装订）</w:t>
      </w:r>
      <w:r>
        <w:rPr>
          <w:rFonts w:hint="eastAsia" w:ascii="仿宋_GB2312" w:eastAsia="仿宋_GB2312"/>
          <w:b/>
          <w:sz w:val="28"/>
          <w:szCs w:val="28"/>
        </w:rPr>
        <w:t>：</w:t>
      </w:r>
    </w:p>
    <w:p>
      <w:pPr>
        <w:snapToGrid w:val="0"/>
        <w:spacing w:line="300" w:lineRule="auto"/>
        <w:ind w:firstLine="560" w:firstLineChars="200"/>
        <w:rPr>
          <w:rFonts w:ascii="仿宋_GB2312" w:hAnsi="宋体" w:eastAsia="仿宋_GB2312"/>
          <w:sz w:val="28"/>
          <w:szCs w:val="28"/>
        </w:rPr>
      </w:pPr>
      <w:r>
        <w:rPr>
          <w:rFonts w:hint="eastAsia" w:ascii="仿宋_GB2312" w:hAnsi="宋体" w:eastAsia="仿宋_GB2312"/>
          <w:sz w:val="28"/>
          <w:szCs w:val="28"/>
        </w:rPr>
        <w:t>1、关于资格的声明函；</w:t>
      </w:r>
    </w:p>
    <w:p>
      <w:pPr>
        <w:snapToGrid w:val="0"/>
        <w:spacing w:line="300" w:lineRule="auto"/>
        <w:ind w:firstLine="560" w:firstLineChars="200"/>
        <w:rPr>
          <w:rFonts w:ascii="仿宋_GB2312" w:hAnsi="宋体" w:eastAsia="仿宋_GB2312"/>
          <w:sz w:val="28"/>
          <w:szCs w:val="28"/>
        </w:rPr>
      </w:pPr>
      <w:r>
        <w:rPr>
          <w:rFonts w:hint="eastAsia" w:ascii="仿宋_GB2312" w:hAnsi="宋体" w:eastAsia="仿宋_GB2312"/>
          <w:sz w:val="28"/>
          <w:szCs w:val="28"/>
        </w:rPr>
        <w:t>2、法定代表人身份证明书（提供复印件并加盖公章）;</w:t>
      </w:r>
    </w:p>
    <w:p>
      <w:pPr>
        <w:snapToGrid w:val="0"/>
        <w:spacing w:line="300" w:lineRule="auto"/>
        <w:ind w:firstLine="560" w:firstLineChars="200"/>
        <w:rPr>
          <w:rFonts w:ascii="仿宋_GB2312" w:hAnsi="宋体" w:eastAsia="仿宋_GB2312"/>
          <w:sz w:val="28"/>
          <w:szCs w:val="28"/>
          <w:lang w:val="zh-CN"/>
        </w:rPr>
      </w:pPr>
      <w:r>
        <w:rPr>
          <w:rFonts w:hint="eastAsia" w:ascii="仿宋_GB2312" w:hAnsi="宋体" w:eastAsia="仿宋_GB2312"/>
          <w:sz w:val="28"/>
          <w:szCs w:val="28"/>
          <w:lang w:val="zh-CN"/>
        </w:rPr>
        <w:t>3、</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lang w:val="zh-CN"/>
        </w:rPr>
        <w:t>法定代表人授权委托书原件，磋商代表本人身份证复印件（原件随身备查）；</w:t>
      </w:r>
    </w:p>
    <w:p>
      <w:pPr>
        <w:snapToGrid w:val="0"/>
        <w:spacing w:line="300" w:lineRule="auto"/>
        <w:ind w:firstLine="560" w:firstLineChars="200"/>
        <w:rPr>
          <w:rFonts w:ascii="仿宋_GB2312" w:hAnsi="宋体" w:eastAsia="仿宋_GB2312"/>
          <w:sz w:val="28"/>
          <w:szCs w:val="28"/>
        </w:rPr>
      </w:pPr>
      <w:r>
        <w:rPr>
          <w:rFonts w:hint="eastAsia" w:ascii="仿宋_GB2312" w:hAnsi="宋体" w:eastAsia="仿宋_GB2312"/>
          <w:sz w:val="28"/>
          <w:szCs w:val="28"/>
        </w:rPr>
        <w:t>4、</w:t>
      </w:r>
      <w:r>
        <w:rPr>
          <w:rFonts w:hint="eastAsia" w:ascii="仿宋_GB2312" w:hAnsi="宋体" w:eastAsia="仿宋_GB2312"/>
          <w:sz w:val="28"/>
          <w:szCs w:val="28"/>
          <w:lang w:eastAsia="zh-CN"/>
        </w:rPr>
        <w:t>供应商</w:t>
      </w:r>
      <w:r>
        <w:rPr>
          <w:rFonts w:hint="eastAsia" w:ascii="仿宋_GB2312" w:hAnsi="宋体" w:eastAsia="仿宋_GB2312"/>
          <w:sz w:val="28"/>
          <w:szCs w:val="28"/>
        </w:rPr>
        <w:t>营业执照（提供复印件并加盖公章）；</w:t>
      </w:r>
    </w:p>
    <w:p>
      <w:pPr>
        <w:snapToGrid w:val="0"/>
        <w:spacing w:line="300" w:lineRule="auto"/>
        <w:ind w:firstLine="560" w:firstLineChars="200"/>
        <w:rPr>
          <w:rFonts w:ascii="仿宋_GB2312" w:hAnsi="宋体" w:eastAsia="仿宋_GB2312"/>
          <w:sz w:val="28"/>
          <w:szCs w:val="28"/>
        </w:rPr>
      </w:pPr>
      <w:r>
        <w:rPr>
          <w:rFonts w:hint="eastAsia" w:ascii="仿宋_GB2312" w:hAnsi="宋体" w:eastAsia="仿宋_GB2312"/>
          <w:sz w:val="28"/>
          <w:szCs w:val="28"/>
        </w:rPr>
        <w:t>5、上一年度的财务状况报告（成立不满一年不需提供）；</w:t>
      </w:r>
    </w:p>
    <w:p>
      <w:pPr>
        <w:snapToGrid w:val="0"/>
        <w:spacing w:line="300" w:lineRule="auto"/>
        <w:ind w:firstLine="560" w:firstLineChars="200"/>
        <w:rPr>
          <w:rFonts w:ascii="仿宋_GB2312" w:hAnsi="宋体" w:eastAsia="仿宋_GB2312"/>
          <w:sz w:val="28"/>
          <w:szCs w:val="28"/>
        </w:rPr>
      </w:pPr>
      <w:r>
        <w:rPr>
          <w:rFonts w:hint="eastAsia" w:ascii="仿宋_GB2312" w:hAnsi="宋体" w:eastAsia="仿宋_GB2312"/>
          <w:sz w:val="28"/>
          <w:szCs w:val="28"/>
        </w:rPr>
        <w:t>6、</w:t>
      </w:r>
      <w:r>
        <w:rPr>
          <w:rFonts w:hint="eastAsia" w:ascii="仿宋_GB2312" w:hAnsi="宋体" w:eastAsia="仿宋_GB2312"/>
          <w:sz w:val="28"/>
          <w:szCs w:val="28"/>
          <w:lang w:val="en-US" w:eastAsia="zh-CN"/>
        </w:rPr>
        <w:t>2019年7-12月份</w:t>
      </w:r>
      <w:r>
        <w:rPr>
          <w:rFonts w:hint="eastAsia" w:ascii="仿宋_GB2312" w:hAnsi="宋体" w:eastAsia="仿宋_GB2312"/>
          <w:sz w:val="28"/>
          <w:szCs w:val="28"/>
        </w:rPr>
        <w:t>依法缴纳税收和社会保障资金的相关材料；</w:t>
      </w:r>
    </w:p>
    <w:p>
      <w:pPr>
        <w:snapToGrid w:val="0"/>
        <w:spacing w:line="300" w:lineRule="auto"/>
        <w:ind w:firstLine="560" w:firstLineChars="200"/>
        <w:rPr>
          <w:rFonts w:ascii="仿宋_GB2312" w:hAnsi="宋体" w:eastAsia="仿宋_GB2312"/>
          <w:sz w:val="28"/>
          <w:szCs w:val="28"/>
        </w:rPr>
      </w:pPr>
      <w:r>
        <w:rPr>
          <w:rFonts w:hint="eastAsia" w:ascii="仿宋_GB2312" w:hAnsi="宋体" w:eastAsia="仿宋_GB2312"/>
          <w:sz w:val="28"/>
          <w:szCs w:val="28"/>
        </w:rPr>
        <w:t>7、具备履行合同所必需的设备和专业技术能力的书面声明；</w:t>
      </w:r>
    </w:p>
    <w:p>
      <w:pPr>
        <w:snapToGrid w:val="0"/>
        <w:spacing w:line="300" w:lineRule="auto"/>
        <w:ind w:firstLine="560" w:firstLineChars="200"/>
        <w:rPr>
          <w:rFonts w:ascii="仿宋_GB2312" w:hAnsi="宋体" w:eastAsia="仿宋_GB2312"/>
          <w:sz w:val="28"/>
          <w:szCs w:val="28"/>
        </w:rPr>
      </w:pPr>
      <w:r>
        <w:rPr>
          <w:rFonts w:hint="eastAsia" w:ascii="仿宋_GB2312" w:hAnsi="宋体" w:eastAsia="仿宋_GB2312"/>
          <w:sz w:val="28"/>
          <w:szCs w:val="28"/>
        </w:rPr>
        <w:t>8、参加政府采购活动前3年内在经营活动中没有重大违法记录的书面声明；</w:t>
      </w:r>
    </w:p>
    <w:p>
      <w:pPr>
        <w:snapToGrid w:val="0"/>
        <w:spacing w:line="300" w:lineRule="auto"/>
        <w:ind w:firstLine="560" w:firstLineChars="200"/>
        <w:rPr>
          <w:rFonts w:ascii="仿宋_GB2312" w:hAnsi="宋体" w:eastAsia="仿宋_GB2312"/>
          <w:sz w:val="28"/>
          <w:szCs w:val="28"/>
        </w:rPr>
      </w:pPr>
      <w:r>
        <w:rPr>
          <w:rFonts w:hint="eastAsia" w:ascii="仿宋_GB2312" w:hAnsi="宋体" w:eastAsia="仿宋_GB2312"/>
          <w:sz w:val="28"/>
          <w:szCs w:val="28"/>
        </w:rPr>
        <w:t>9、其它需要提交的资格审查证明材料。</w:t>
      </w:r>
    </w:p>
    <w:p>
      <w:pPr>
        <w:pStyle w:val="36"/>
        <w:snapToGrid w:val="0"/>
        <w:spacing w:line="300" w:lineRule="auto"/>
        <w:ind w:firstLine="579"/>
        <w:rPr>
          <w:b/>
          <w:sz w:val="28"/>
        </w:rPr>
      </w:pPr>
      <w:r>
        <w:rPr>
          <w:rFonts w:hint="eastAsia"/>
          <w:b/>
          <w:sz w:val="28"/>
        </w:rPr>
        <w:t>二、价格响应文件，一式三份（单独密封并牢固装订），不得出现在商务技术响应文件部分：</w:t>
      </w:r>
    </w:p>
    <w:p>
      <w:pPr>
        <w:pStyle w:val="36"/>
        <w:snapToGrid w:val="0"/>
        <w:spacing w:line="300" w:lineRule="auto"/>
        <w:ind w:firstLine="577"/>
        <w:rPr>
          <w:sz w:val="28"/>
        </w:rPr>
      </w:pPr>
      <w:r>
        <w:rPr>
          <w:rFonts w:hint="eastAsia"/>
          <w:sz w:val="28"/>
        </w:rPr>
        <w:t>1、报价总表；</w:t>
      </w:r>
    </w:p>
    <w:p>
      <w:pPr>
        <w:pStyle w:val="36"/>
        <w:snapToGrid w:val="0"/>
        <w:spacing w:line="300" w:lineRule="auto"/>
        <w:ind w:firstLine="579"/>
        <w:rPr>
          <w:sz w:val="28"/>
        </w:rPr>
      </w:pPr>
      <w:r>
        <w:rPr>
          <w:rFonts w:hint="eastAsia"/>
          <w:b/>
          <w:sz w:val="28"/>
        </w:rPr>
        <w:t>三、商务技术响应文件（不能出现报价</w:t>
      </w:r>
      <w:r>
        <w:rPr>
          <w:rFonts w:hint="eastAsia"/>
          <w:b/>
          <w:sz w:val="28"/>
          <w:szCs w:val="24"/>
        </w:rPr>
        <w:t>；</w:t>
      </w:r>
      <w:r>
        <w:rPr>
          <w:rFonts w:hint="eastAsia"/>
          <w:b/>
          <w:sz w:val="28"/>
        </w:rPr>
        <w:t>一正两副，单独密封并牢固装订）：</w:t>
      </w:r>
    </w:p>
    <w:p>
      <w:pPr>
        <w:tabs>
          <w:tab w:val="left" w:pos="1260"/>
        </w:tabs>
        <w:snapToGrid w:val="0"/>
        <w:spacing w:line="300" w:lineRule="auto"/>
        <w:ind w:firstLine="560" w:firstLineChars="200"/>
        <w:rPr>
          <w:rFonts w:ascii="仿宋_GB2312" w:hAnsi="宋体" w:eastAsia="仿宋_GB2312"/>
          <w:sz w:val="28"/>
          <w:szCs w:val="28"/>
        </w:rPr>
      </w:pPr>
      <w:r>
        <w:rPr>
          <w:rFonts w:hint="eastAsia" w:ascii="仿宋_GB2312" w:hAnsi="宋体" w:eastAsia="仿宋_GB2312"/>
          <w:sz w:val="28"/>
          <w:szCs w:val="28"/>
        </w:rPr>
        <w:t>1、磋商供应商情况一览表</w:t>
      </w:r>
    </w:p>
    <w:p>
      <w:pPr>
        <w:pStyle w:val="36"/>
        <w:snapToGrid w:val="0"/>
        <w:spacing w:line="300" w:lineRule="auto"/>
        <w:ind w:firstLine="560" w:firstLineChars="200"/>
        <w:rPr>
          <w:sz w:val="28"/>
        </w:rPr>
      </w:pPr>
      <w:r>
        <w:rPr>
          <w:rFonts w:hint="eastAsia"/>
          <w:sz w:val="28"/>
        </w:rPr>
        <w:t>2、商务部分正负偏离表</w:t>
      </w:r>
    </w:p>
    <w:p>
      <w:pPr>
        <w:pStyle w:val="36"/>
        <w:snapToGrid w:val="0"/>
        <w:spacing w:line="300" w:lineRule="auto"/>
        <w:ind w:firstLine="560" w:firstLineChars="200"/>
        <w:rPr>
          <w:sz w:val="28"/>
        </w:rPr>
      </w:pPr>
      <w:r>
        <w:rPr>
          <w:rFonts w:hint="eastAsia"/>
          <w:sz w:val="28"/>
        </w:rPr>
        <w:t>3、技术部分正负偏离表</w:t>
      </w:r>
    </w:p>
    <w:p>
      <w:pPr>
        <w:pStyle w:val="36"/>
        <w:snapToGrid w:val="0"/>
        <w:spacing w:line="300" w:lineRule="auto"/>
        <w:ind w:firstLine="562" w:firstLineChars="200"/>
        <w:rPr>
          <w:b/>
          <w:sz w:val="28"/>
        </w:rPr>
      </w:pPr>
      <w:r>
        <w:rPr>
          <w:rFonts w:hint="eastAsia"/>
          <w:b/>
          <w:sz w:val="28"/>
        </w:rPr>
        <w:t>填制正负偏离表，完全响应的，请以空白表列示。不完全响应的，必须在偏离表中列示；列示不全的，视同故意隐瞒。</w:t>
      </w:r>
    </w:p>
    <w:p>
      <w:pPr>
        <w:pStyle w:val="36"/>
        <w:numPr>
          <w:ilvl w:val="0"/>
          <w:numId w:val="0"/>
        </w:numPr>
        <w:snapToGrid w:val="0"/>
        <w:spacing w:line="300" w:lineRule="auto"/>
        <w:ind w:firstLine="560" w:firstLineChars="200"/>
        <w:rPr>
          <w:sz w:val="28"/>
        </w:rPr>
      </w:pPr>
      <w:r>
        <w:rPr>
          <w:rFonts w:hint="eastAsia"/>
          <w:sz w:val="28"/>
          <w:lang w:val="en-US" w:eastAsia="zh-CN"/>
        </w:rPr>
        <w:t>4、</w:t>
      </w:r>
      <w:r>
        <w:rPr>
          <w:rFonts w:hint="eastAsia"/>
          <w:sz w:val="28"/>
        </w:rPr>
        <w:t>服务响应方案。</w:t>
      </w:r>
    </w:p>
    <w:p>
      <w:pPr>
        <w:pStyle w:val="36"/>
        <w:numPr>
          <w:ilvl w:val="0"/>
          <w:numId w:val="0"/>
        </w:numPr>
        <w:snapToGrid w:val="0"/>
        <w:spacing w:line="300" w:lineRule="auto"/>
        <w:ind w:firstLine="560" w:firstLineChars="200"/>
        <w:rPr>
          <w:sz w:val="28"/>
        </w:rPr>
      </w:pPr>
      <w:r>
        <w:rPr>
          <w:rFonts w:hint="eastAsia"/>
          <w:sz w:val="28"/>
          <w:lang w:val="en-US" w:eastAsia="zh-CN"/>
        </w:rPr>
        <w:t>5、</w:t>
      </w:r>
      <w:r>
        <w:rPr>
          <w:rFonts w:hint="eastAsia"/>
          <w:sz w:val="28"/>
        </w:rPr>
        <w:t>为方便</w:t>
      </w:r>
      <w:r>
        <w:rPr>
          <w:rFonts w:hint="eastAsia"/>
          <w:sz w:val="28"/>
          <w:lang w:eastAsia="zh-CN"/>
        </w:rPr>
        <w:t>磋商</w:t>
      </w:r>
      <w:r>
        <w:rPr>
          <w:rFonts w:hint="eastAsia"/>
          <w:sz w:val="28"/>
        </w:rPr>
        <w:t>评审，请供应商按评审办法中所涉及的事项顺序进行编制，可以补充相关材料。</w:t>
      </w:r>
    </w:p>
    <w:p>
      <w:pPr>
        <w:pStyle w:val="36"/>
        <w:snapToGrid w:val="0"/>
        <w:spacing w:line="300" w:lineRule="auto"/>
        <w:ind w:firstLine="560" w:firstLineChars="200"/>
        <w:rPr>
          <w:rFonts w:ascii="宋体" w:eastAsia="宋体"/>
          <w:sz w:val="24"/>
          <w:szCs w:val="24"/>
        </w:rPr>
      </w:pPr>
      <w:r>
        <w:rPr>
          <w:rFonts w:hint="eastAsia"/>
          <w:sz w:val="28"/>
          <w:lang w:val="en-US" w:eastAsia="zh-CN"/>
        </w:rPr>
        <w:t>6、</w:t>
      </w:r>
      <w:r>
        <w:rPr>
          <w:rFonts w:hint="eastAsia"/>
          <w:sz w:val="28"/>
          <w:lang w:eastAsia="zh-CN"/>
        </w:rPr>
        <w:t>磋商</w:t>
      </w:r>
      <w:r>
        <w:rPr>
          <w:rFonts w:hint="eastAsia"/>
          <w:sz w:val="28"/>
        </w:rPr>
        <w:t>办法中未涉及的事项，供应商认为需要提交的其他资料。</w:t>
      </w:r>
    </w:p>
    <w:p>
      <w:pPr>
        <w:pStyle w:val="2"/>
        <w:rPr>
          <w:rFonts w:ascii="宋体" w:hAnsi="宋体"/>
          <w:sz w:val="24"/>
        </w:rPr>
      </w:pPr>
    </w:p>
    <w:p>
      <w:pPr>
        <w:pStyle w:val="2"/>
        <w:rPr>
          <w:rFonts w:ascii="宋体" w:hAnsi="宋体"/>
          <w:sz w:val="24"/>
        </w:rPr>
        <w:sectPr>
          <w:pgSz w:w="11907" w:h="16839"/>
          <w:pgMar w:top="1440" w:right="726" w:bottom="873" w:left="1236" w:header="720" w:footer="720" w:gutter="0"/>
          <w:cols w:space="720" w:num="1"/>
          <w:docGrid w:linePitch="286" w:charSpace="0"/>
        </w:sectPr>
      </w:pPr>
    </w:p>
    <w:p>
      <w:pPr>
        <w:pStyle w:val="2"/>
        <w:rPr>
          <w:rFonts w:ascii="宋体" w:hAnsi="宋体"/>
          <w:sz w:val="24"/>
        </w:rPr>
      </w:pPr>
      <w:r>
        <w:rPr>
          <w:rFonts w:hint="eastAsia" w:ascii="宋体" w:hAnsi="宋体"/>
          <w:sz w:val="24"/>
        </w:rPr>
        <w:t>附件1</w:t>
      </w:r>
    </w:p>
    <w:p>
      <w:pPr>
        <w:snapToGrid w:val="0"/>
        <w:spacing w:line="420" w:lineRule="exact"/>
        <w:jc w:val="center"/>
        <w:outlineLvl w:val="2"/>
        <w:rPr>
          <w:rFonts w:ascii="宋体" w:hAnsi="宋体"/>
          <w:b/>
          <w:sz w:val="24"/>
        </w:rPr>
      </w:pPr>
      <w:r>
        <w:rPr>
          <w:rFonts w:hint="eastAsia" w:ascii="宋体" w:hAnsi="宋体"/>
          <w:b/>
          <w:sz w:val="24"/>
        </w:rPr>
        <w:t>价格标响应文件</w:t>
      </w:r>
      <w:r>
        <w:rPr>
          <w:rFonts w:hint="eastAsia" w:ascii="宋体" w:hAnsi="宋体"/>
          <w:sz w:val="24"/>
        </w:rPr>
        <w:t>（一个密封包，含一正二副文件）</w:t>
      </w:r>
    </w:p>
    <w:p>
      <w:pPr>
        <w:snapToGrid w:val="0"/>
        <w:spacing w:line="420" w:lineRule="exact"/>
        <w:jc w:val="center"/>
        <w:outlineLvl w:val="3"/>
        <w:rPr>
          <w:rFonts w:ascii="宋体" w:hAnsi="宋体"/>
          <w:b/>
          <w:bCs/>
          <w:sz w:val="24"/>
        </w:rPr>
      </w:pPr>
      <w:r>
        <w:rPr>
          <w:rFonts w:ascii="宋体" w:hAnsi="宋体"/>
          <w:b/>
          <w:sz w:val="24"/>
        </w:rPr>
        <w:t>1</w:t>
      </w:r>
      <w:r>
        <w:rPr>
          <w:rFonts w:hint="eastAsia" w:ascii="宋体" w:hAnsi="宋体"/>
          <w:b/>
          <w:sz w:val="24"/>
        </w:rPr>
        <w:t>、磋商响应报价总表（开标一览表）</w:t>
      </w:r>
    </w:p>
    <w:p>
      <w:pPr>
        <w:snapToGrid w:val="0"/>
        <w:spacing w:line="420" w:lineRule="exact"/>
        <w:ind w:left="1133" w:hanging="1132" w:hangingChars="472"/>
        <w:rPr>
          <w:rFonts w:ascii="宋体" w:hAnsi="宋体"/>
          <w:sz w:val="24"/>
        </w:rPr>
      </w:pPr>
      <w:r>
        <w:rPr>
          <w:rFonts w:hint="eastAsia" w:ascii="宋体" w:hAnsi="宋体"/>
          <w:sz w:val="24"/>
        </w:rPr>
        <w:t>项目名称：</w:t>
      </w:r>
    </w:p>
    <w:tbl>
      <w:tblPr>
        <w:tblStyle w:val="16"/>
        <w:tblW w:w="8754" w:type="dxa"/>
        <w:tblInd w:w="0" w:type="dxa"/>
        <w:tblLayout w:type="fixed"/>
        <w:tblCellMar>
          <w:top w:w="0" w:type="dxa"/>
          <w:left w:w="0" w:type="dxa"/>
          <w:bottom w:w="0" w:type="dxa"/>
          <w:right w:w="0" w:type="dxa"/>
        </w:tblCellMar>
      </w:tblPr>
      <w:tblGrid>
        <w:gridCol w:w="616"/>
        <w:gridCol w:w="2402"/>
        <w:gridCol w:w="732"/>
        <w:gridCol w:w="720"/>
        <w:gridCol w:w="720"/>
        <w:gridCol w:w="720"/>
        <w:gridCol w:w="2844"/>
      </w:tblGrid>
      <w:tr>
        <w:tblPrEx>
          <w:tblCellMar>
            <w:top w:w="0" w:type="dxa"/>
            <w:left w:w="0" w:type="dxa"/>
            <w:bottom w:w="0" w:type="dxa"/>
            <w:right w:w="0" w:type="dxa"/>
          </w:tblCellMar>
        </w:tblPrEx>
        <w:trPr>
          <w:trHeight w:val="498" w:hRule="atLeast"/>
        </w:trPr>
        <w:tc>
          <w:tcPr>
            <w:tcW w:w="616" w:type="dxa"/>
            <w:tcBorders>
              <w:top w:val="single" w:color="000000" w:sz="4" w:space="0"/>
              <w:left w:val="single" w:color="000000" w:sz="4" w:space="0"/>
              <w:bottom w:val="single" w:color="000000" w:sz="4" w:space="0"/>
              <w:right w:val="single" w:color="000000" w:sz="4" w:space="0"/>
            </w:tcBorders>
            <w:shd w:val="clear" w:color="auto" w:fill="EEECE1"/>
            <w:noWrap/>
            <w:tcMar>
              <w:top w:w="10" w:type="dxa"/>
              <w:left w:w="10" w:type="dxa"/>
              <w:right w:w="10"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序号</w:t>
            </w:r>
          </w:p>
        </w:tc>
        <w:tc>
          <w:tcPr>
            <w:tcW w:w="2402" w:type="dxa"/>
            <w:tcBorders>
              <w:top w:val="single" w:color="000000" w:sz="4" w:space="0"/>
              <w:left w:val="single" w:color="000000" w:sz="4" w:space="0"/>
              <w:bottom w:val="single" w:color="000000" w:sz="4" w:space="0"/>
              <w:right w:val="single" w:color="000000" w:sz="4" w:space="0"/>
            </w:tcBorders>
            <w:shd w:val="clear" w:color="auto" w:fill="EEECE1"/>
            <w:noWrap/>
            <w:tcMar>
              <w:top w:w="10" w:type="dxa"/>
              <w:left w:w="10" w:type="dxa"/>
              <w:right w:w="10"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项目</w:t>
            </w:r>
          </w:p>
        </w:tc>
        <w:tc>
          <w:tcPr>
            <w:tcW w:w="732" w:type="dxa"/>
            <w:tcBorders>
              <w:top w:val="single" w:color="000000" w:sz="4" w:space="0"/>
              <w:left w:val="single" w:color="000000" w:sz="4" w:space="0"/>
              <w:bottom w:val="single" w:color="000000" w:sz="4" w:space="0"/>
              <w:right w:val="single" w:color="000000" w:sz="4" w:space="0"/>
            </w:tcBorders>
            <w:shd w:val="clear" w:color="auto" w:fill="EEECE1"/>
            <w:noWrap/>
            <w:tcMar>
              <w:top w:w="10" w:type="dxa"/>
              <w:left w:w="10" w:type="dxa"/>
              <w:right w:w="10"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数量</w:t>
            </w:r>
          </w:p>
        </w:tc>
        <w:tc>
          <w:tcPr>
            <w:tcW w:w="720" w:type="dxa"/>
            <w:tcBorders>
              <w:top w:val="single" w:color="000000" w:sz="4" w:space="0"/>
              <w:left w:val="single" w:color="000000" w:sz="4" w:space="0"/>
              <w:bottom w:val="single" w:color="000000" w:sz="4" w:space="0"/>
              <w:right w:val="single" w:color="000000" w:sz="4" w:space="0"/>
            </w:tcBorders>
            <w:shd w:val="clear" w:color="auto" w:fill="EEECE1"/>
            <w:noWrap/>
            <w:tcMar>
              <w:top w:w="10" w:type="dxa"/>
              <w:left w:w="10" w:type="dxa"/>
              <w:right w:w="10" w:type="dxa"/>
            </w:tcMar>
            <w:vAlign w:val="center"/>
          </w:tcPr>
          <w:p>
            <w:pPr>
              <w:widowControl/>
              <w:jc w:val="center"/>
              <w:textAlignment w:val="center"/>
              <w:rPr>
                <w:rFonts w:hint="eastAsia" w:ascii="宋体" w:hAnsi="宋体" w:eastAsia="宋体" w:cs="宋体"/>
                <w:b/>
                <w:color w:val="000000"/>
                <w:kern w:val="2"/>
                <w:sz w:val="22"/>
                <w:szCs w:val="22"/>
                <w:lang w:val="en-US" w:eastAsia="zh-CN" w:bidi="ar-SA"/>
              </w:rPr>
            </w:pPr>
            <w:r>
              <w:rPr>
                <w:rFonts w:hint="eastAsia" w:ascii="宋体" w:hAnsi="宋体" w:cs="宋体"/>
                <w:b/>
                <w:color w:val="000000"/>
                <w:kern w:val="0"/>
                <w:sz w:val="22"/>
                <w:szCs w:val="22"/>
              </w:rPr>
              <w:t>单位</w:t>
            </w:r>
          </w:p>
        </w:tc>
        <w:tc>
          <w:tcPr>
            <w:tcW w:w="720" w:type="dxa"/>
            <w:tcBorders>
              <w:top w:val="single" w:color="000000" w:sz="4" w:space="0"/>
              <w:left w:val="single" w:color="000000" w:sz="4" w:space="0"/>
              <w:bottom w:val="single" w:color="000000" w:sz="4" w:space="0"/>
              <w:right w:val="single" w:color="000000" w:sz="4" w:space="0"/>
            </w:tcBorders>
            <w:shd w:val="clear" w:color="auto" w:fill="EEECE1"/>
            <w:noWrap/>
            <w:tcMar>
              <w:top w:w="10" w:type="dxa"/>
              <w:left w:w="10" w:type="dxa"/>
              <w:right w:w="10" w:type="dxa"/>
            </w:tcMar>
            <w:vAlign w:val="center"/>
          </w:tcPr>
          <w:p>
            <w:pPr>
              <w:widowControl/>
              <w:jc w:val="center"/>
              <w:textAlignment w:val="center"/>
              <w:rPr>
                <w:rFonts w:hint="eastAsia" w:ascii="宋体" w:hAnsi="宋体" w:eastAsia="宋体" w:cs="宋体"/>
                <w:b/>
                <w:color w:val="000000"/>
                <w:kern w:val="0"/>
                <w:sz w:val="22"/>
                <w:szCs w:val="22"/>
                <w:lang w:eastAsia="zh-CN"/>
              </w:rPr>
            </w:pPr>
            <w:r>
              <w:rPr>
                <w:rFonts w:hint="eastAsia" w:ascii="宋体" w:hAnsi="宋体" w:cs="宋体"/>
                <w:b/>
                <w:color w:val="000000"/>
                <w:kern w:val="0"/>
                <w:sz w:val="22"/>
                <w:szCs w:val="22"/>
                <w:lang w:eastAsia="zh-CN"/>
              </w:rPr>
              <w:t>单价</w:t>
            </w:r>
          </w:p>
        </w:tc>
        <w:tc>
          <w:tcPr>
            <w:tcW w:w="720" w:type="dxa"/>
            <w:tcBorders>
              <w:top w:val="single" w:color="000000" w:sz="4" w:space="0"/>
              <w:left w:val="single" w:color="000000" w:sz="4" w:space="0"/>
              <w:bottom w:val="single" w:color="000000" w:sz="4" w:space="0"/>
              <w:right w:val="single" w:color="000000" w:sz="4" w:space="0"/>
            </w:tcBorders>
            <w:shd w:val="clear" w:color="auto" w:fill="EEECE1"/>
            <w:noWrap/>
            <w:tcMar>
              <w:top w:w="10" w:type="dxa"/>
              <w:left w:w="10" w:type="dxa"/>
              <w:right w:w="10" w:type="dxa"/>
            </w:tcMar>
            <w:vAlign w:val="center"/>
          </w:tcPr>
          <w:p>
            <w:pPr>
              <w:widowControl/>
              <w:jc w:val="center"/>
              <w:textAlignment w:val="center"/>
              <w:rPr>
                <w:rFonts w:hint="eastAsia" w:ascii="宋体" w:hAnsi="宋体" w:eastAsia="宋体" w:cs="宋体"/>
                <w:b/>
                <w:color w:val="000000"/>
                <w:kern w:val="0"/>
                <w:sz w:val="22"/>
                <w:szCs w:val="22"/>
                <w:lang w:eastAsia="zh-CN"/>
              </w:rPr>
            </w:pPr>
            <w:r>
              <w:rPr>
                <w:rFonts w:hint="eastAsia" w:ascii="宋体" w:hAnsi="宋体" w:cs="宋体"/>
                <w:b/>
                <w:color w:val="000000"/>
                <w:kern w:val="0"/>
                <w:sz w:val="22"/>
                <w:szCs w:val="22"/>
                <w:lang w:eastAsia="zh-CN"/>
              </w:rPr>
              <w:t>金额</w:t>
            </w:r>
          </w:p>
        </w:tc>
        <w:tc>
          <w:tcPr>
            <w:tcW w:w="2844" w:type="dxa"/>
            <w:tcBorders>
              <w:top w:val="single" w:color="000000" w:sz="4" w:space="0"/>
              <w:left w:val="single" w:color="000000" w:sz="4" w:space="0"/>
              <w:bottom w:val="single" w:color="000000" w:sz="4" w:space="0"/>
              <w:right w:val="single" w:color="000000" w:sz="4" w:space="0"/>
            </w:tcBorders>
            <w:shd w:val="clear" w:color="auto" w:fill="EEECE1"/>
            <w:noWrap/>
            <w:tcMar>
              <w:top w:w="10" w:type="dxa"/>
              <w:left w:w="10" w:type="dxa"/>
              <w:right w:w="10" w:type="dxa"/>
            </w:tcMar>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备注</w:t>
            </w:r>
          </w:p>
        </w:tc>
      </w:tr>
      <w:tr>
        <w:tblPrEx>
          <w:tblCellMar>
            <w:top w:w="0" w:type="dxa"/>
            <w:left w:w="0" w:type="dxa"/>
            <w:bottom w:w="0" w:type="dxa"/>
            <w:right w:w="0" w:type="dxa"/>
          </w:tblCellMar>
        </w:tblPrEx>
        <w:trPr>
          <w:trHeight w:val="280" w:hRule="atLeast"/>
        </w:trPr>
        <w:tc>
          <w:tcPr>
            <w:tcW w:w="61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both"/>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240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道闸</w:t>
            </w:r>
          </w:p>
        </w:tc>
        <w:tc>
          <w:tcPr>
            <w:tcW w:w="73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w:t>
            </w: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eastAsia="宋体" w:cs="宋体"/>
                <w:color w:val="000000"/>
                <w:kern w:val="2"/>
                <w:sz w:val="22"/>
                <w:szCs w:val="22"/>
                <w:lang w:val="en-US" w:eastAsia="zh-CN" w:bidi="ar-SA"/>
              </w:rPr>
            </w:pPr>
            <w:r>
              <w:rPr>
                <w:rFonts w:hint="eastAsia" w:ascii="宋体" w:hAnsi="宋体" w:cs="宋体"/>
                <w:color w:val="000000"/>
                <w:kern w:val="0"/>
                <w:sz w:val="22"/>
                <w:szCs w:val="22"/>
              </w:rPr>
              <w:t>套</w:t>
            </w: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 w:val="22"/>
                <w:szCs w:val="22"/>
              </w:rPr>
            </w:pP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 w:val="22"/>
                <w:szCs w:val="22"/>
              </w:rPr>
            </w:pPr>
          </w:p>
        </w:tc>
        <w:tc>
          <w:tcPr>
            <w:tcW w:w="284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东门一进一出2台；南门出口2台；隔离区2台</w:t>
            </w:r>
          </w:p>
        </w:tc>
      </w:tr>
      <w:tr>
        <w:tblPrEx>
          <w:tblCellMar>
            <w:top w:w="0" w:type="dxa"/>
            <w:left w:w="0" w:type="dxa"/>
            <w:bottom w:w="0" w:type="dxa"/>
            <w:right w:w="0" w:type="dxa"/>
          </w:tblCellMar>
        </w:tblPrEx>
        <w:trPr>
          <w:trHeight w:val="280" w:hRule="atLeast"/>
        </w:trPr>
        <w:tc>
          <w:tcPr>
            <w:tcW w:w="61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w:t>
            </w:r>
          </w:p>
        </w:tc>
        <w:tc>
          <w:tcPr>
            <w:tcW w:w="240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独立摄像头（含立柱）（防水）</w:t>
            </w:r>
          </w:p>
        </w:tc>
        <w:tc>
          <w:tcPr>
            <w:tcW w:w="73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w:t>
            </w: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套</w:t>
            </w: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 w:val="22"/>
                <w:szCs w:val="22"/>
              </w:rPr>
            </w:pP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 w:val="22"/>
                <w:szCs w:val="22"/>
              </w:rPr>
            </w:pPr>
          </w:p>
        </w:tc>
        <w:tc>
          <w:tcPr>
            <w:tcW w:w="284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地下车库入口</w:t>
            </w:r>
          </w:p>
        </w:tc>
      </w:tr>
      <w:tr>
        <w:tblPrEx>
          <w:tblCellMar>
            <w:top w:w="0" w:type="dxa"/>
            <w:left w:w="0" w:type="dxa"/>
            <w:bottom w:w="0" w:type="dxa"/>
            <w:right w:w="0" w:type="dxa"/>
          </w:tblCellMar>
        </w:tblPrEx>
        <w:trPr>
          <w:trHeight w:val="280" w:hRule="atLeast"/>
        </w:trPr>
        <w:tc>
          <w:tcPr>
            <w:tcW w:w="61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3</w:t>
            </w:r>
          </w:p>
        </w:tc>
        <w:tc>
          <w:tcPr>
            <w:tcW w:w="240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显示屏（防水</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2大2小</w:t>
            </w:r>
            <w:r>
              <w:rPr>
                <w:rFonts w:hint="eastAsia" w:ascii="宋体" w:hAnsi="宋体" w:cs="宋体"/>
                <w:color w:val="000000"/>
                <w:kern w:val="0"/>
                <w:sz w:val="22"/>
                <w:szCs w:val="22"/>
              </w:rPr>
              <w:t>）</w:t>
            </w:r>
          </w:p>
        </w:tc>
        <w:tc>
          <w:tcPr>
            <w:tcW w:w="73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4</w:t>
            </w: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套</w:t>
            </w: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 w:val="22"/>
                <w:szCs w:val="22"/>
              </w:rPr>
            </w:pP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 w:val="22"/>
                <w:szCs w:val="22"/>
              </w:rPr>
            </w:pPr>
          </w:p>
        </w:tc>
        <w:tc>
          <w:tcPr>
            <w:tcW w:w="284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两个地下车库入口</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小</w:t>
            </w:r>
            <w:r>
              <w:rPr>
                <w:rFonts w:hint="eastAsia" w:ascii="宋体" w:hAnsi="宋体" w:cs="宋体"/>
                <w:color w:val="000000"/>
                <w:kern w:val="0"/>
                <w:sz w:val="22"/>
                <w:szCs w:val="22"/>
                <w:lang w:eastAsia="zh-CN"/>
              </w:rPr>
              <w:t>），</w:t>
            </w:r>
            <w:r>
              <w:rPr>
                <w:rFonts w:hint="eastAsia" w:ascii="宋体" w:hAnsi="宋体" w:cs="宋体"/>
                <w:color w:val="000000"/>
                <w:kern w:val="0"/>
                <w:sz w:val="22"/>
                <w:szCs w:val="22"/>
                <w:lang w:val="en-US" w:eastAsia="zh-CN"/>
              </w:rPr>
              <w:t>两个园区入口（大）</w:t>
            </w:r>
            <w:bookmarkStart w:id="0" w:name="_GoBack"/>
            <w:bookmarkEnd w:id="0"/>
          </w:p>
        </w:tc>
      </w:tr>
      <w:tr>
        <w:tblPrEx>
          <w:tblCellMar>
            <w:top w:w="0" w:type="dxa"/>
            <w:left w:w="0" w:type="dxa"/>
            <w:bottom w:w="0" w:type="dxa"/>
            <w:right w:w="0" w:type="dxa"/>
          </w:tblCellMar>
        </w:tblPrEx>
        <w:trPr>
          <w:trHeight w:val="280" w:hRule="atLeast"/>
        </w:trPr>
        <w:tc>
          <w:tcPr>
            <w:tcW w:w="61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4</w:t>
            </w:r>
          </w:p>
        </w:tc>
        <w:tc>
          <w:tcPr>
            <w:tcW w:w="240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光纤、收发器</w:t>
            </w:r>
          </w:p>
        </w:tc>
        <w:tc>
          <w:tcPr>
            <w:tcW w:w="73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w:t>
            </w: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组</w:t>
            </w: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 w:val="22"/>
                <w:szCs w:val="22"/>
              </w:rPr>
            </w:pP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 w:val="22"/>
                <w:szCs w:val="22"/>
              </w:rPr>
            </w:pPr>
          </w:p>
        </w:tc>
        <w:tc>
          <w:tcPr>
            <w:tcW w:w="284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南门新增出口/东门新增入口</w:t>
            </w:r>
          </w:p>
        </w:tc>
      </w:tr>
      <w:tr>
        <w:tblPrEx>
          <w:tblCellMar>
            <w:top w:w="0" w:type="dxa"/>
            <w:left w:w="0" w:type="dxa"/>
            <w:bottom w:w="0" w:type="dxa"/>
            <w:right w:w="0" w:type="dxa"/>
          </w:tblCellMar>
        </w:tblPrEx>
        <w:trPr>
          <w:trHeight w:val="280" w:hRule="atLeast"/>
        </w:trPr>
        <w:tc>
          <w:tcPr>
            <w:tcW w:w="61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5</w:t>
            </w:r>
          </w:p>
        </w:tc>
        <w:tc>
          <w:tcPr>
            <w:tcW w:w="240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交换机（千兆8口）</w:t>
            </w:r>
          </w:p>
        </w:tc>
        <w:tc>
          <w:tcPr>
            <w:tcW w:w="73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3</w:t>
            </w: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台</w:t>
            </w: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 w:val="22"/>
                <w:szCs w:val="22"/>
              </w:rPr>
            </w:pP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 w:val="22"/>
                <w:szCs w:val="22"/>
              </w:rPr>
            </w:pPr>
          </w:p>
        </w:tc>
        <w:tc>
          <w:tcPr>
            <w:tcW w:w="284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新增道闸</w:t>
            </w:r>
          </w:p>
        </w:tc>
      </w:tr>
      <w:tr>
        <w:tblPrEx>
          <w:tblCellMar>
            <w:top w:w="0" w:type="dxa"/>
            <w:left w:w="0" w:type="dxa"/>
            <w:bottom w:w="0" w:type="dxa"/>
            <w:right w:w="0" w:type="dxa"/>
          </w:tblCellMar>
        </w:tblPrEx>
        <w:trPr>
          <w:trHeight w:val="280" w:hRule="atLeast"/>
        </w:trPr>
        <w:tc>
          <w:tcPr>
            <w:tcW w:w="61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6</w:t>
            </w:r>
          </w:p>
        </w:tc>
        <w:tc>
          <w:tcPr>
            <w:tcW w:w="240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减速带</w:t>
            </w:r>
          </w:p>
        </w:tc>
        <w:tc>
          <w:tcPr>
            <w:tcW w:w="73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100</w:t>
            </w: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米</w:t>
            </w: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 w:val="22"/>
                <w:szCs w:val="22"/>
              </w:rPr>
            </w:pP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 w:val="22"/>
                <w:szCs w:val="22"/>
              </w:rPr>
            </w:pPr>
          </w:p>
        </w:tc>
        <w:tc>
          <w:tcPr>
            <w:tcW w:w="284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道闸口减速</w:t>
            </w:r>
          </w:p>
        </w:tc>
      </w:tr>
      <w:tr>
        <w:tblPrEx>
          <w:tblCellMar>
            <w:top w:w="0" w:type="dxa"/>
            <w:left w:w="0" w:type="dxa"/>
            <w:bottom w:w="0" w:type="dxa"/>
            <w:right w:w="0" w:type="dxa"/>
          </w:tblCellMar>
        </w:tblPrEx>
        <w:trPr>
          <w:trHeight w:val="280" w:hRule="atLeast"/>
        </w:trPr>
        <w:tc>
          <w:tcPr>
            <w:tcW w:w="61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7</w:t>
            </w:r>
          </w:p>
        </w:tc>
        <w:tc>
          <w:tcPr>
            <w:tcW w:w="240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隔离栏</w:t>
            </w:r>
          </w:p>
        </w:tc>
        <w:tc>
          <w:tcPr>
            <w:tcW w:w="73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24</w:t>
            </w: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米</w:t>
            </w: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 w:val="22"/>
                <w:szCs w:val="22"/>
              </w:rPr>
            </w:pP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 w:val="22"/>
                <w:szCs w:val="22"/>
              </w:rPr>
            </w:pPr>
          </w:p>
        </w:tc>
        <w:tc>
          <w:tcPr>
            <w:tcW w:w="284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kern w:val="0"/>
                <w:sz w:val="22"/>
                <w:szCs w:val="22"/>
              </w:rPr>
            </w:pPr>
          </w:p>
        </w:tc>
      </w:tr>
      <w:tr>
        <w:tblPrEx>
          <w:tblCellMar>
            <w:top w:w="0" w:type="dxa"/>
            <w:left w:w="0" w:type="dxa"/>
            <w:bottom w:w="0" w:type="dxa"/>
            <w:right w:w="0" w:type="dxa"/>
          </w:tblCellMar>
        </w:tblPrEx>
        <w:trPr>
          <w:trHeight w:val="280" w:hRule="atLeast"/>
        </w:trPr>
        <w:tc>
          <w:tcPr>
            <w:tcW w:w="61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8</w:t>
            </w:r>
          </w:p>
        </w:tc>
        <w:tc>
          <w:tcPr>
            <w:tcW w:w="240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地面标线、箭头</w:t>
            </w:r>
          </w:p>
        </w:tc>
        <w:tc>
          <w:tcPr>
            <w:tcW w:w="73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500</w:t>
            </w: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米</w:t>
            </w: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 w:val="22"/>
                <w:szCs w:val="22"/>
              </w:rPr>
            </w:pP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 w:val="22"/>
                <w:szCs w:val="22"/>
              </w:rPr>
            </w:pPr>
          </w:p>
        </w:tc>
        <w:tc>
          <w:tcPr>
            <w:tcW w:w="284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kern w:val="0"/>
                <w:sz w:val="22"/>
                <w:szCs w:val="22"/>
              </w:rPr>
            </w:pPr>
          </w:p>
        </w:tc>
      </w:tr>
      <w:tr>
        <w:tblPrEx>
          <w:tblCellMar>
            <w:top w:w="0" w:type="dxa"/>
            <w:left w:w="0" w:type="dxa"/>
            <w:bottom w:w="0" w:type="dxa"/>
            <w:right w:w="0" w:type="dxa"/>
          </w:tblCellMar>
        </w:tblPrEx>
        <w:trPr>
          <w:trHeight w:val="280" w:hRule="atLeast"/>
        </w:trPr>
        <w:tc>
          <w:tcPr>
            <w:tcW w:w="61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9</w:t>
            </w:r>
          </w:p>
        </w:tc>
        <w:tc>
          <w:tcPr>
            <w:tcW w:w="240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收费公示牌</w:t>
            </w:r>
          </w:p>
        </w:tc>
        <w:tc>
          <w:tcPr>
            <w:tcW w:w="73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w:t>
            </w: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套</w:t>
            </w: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 w:val="22"/>
                <w:szCs w:val="22"/>
              </w:rPr>
            </w:pP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 w:val="22"/>
                <w:szCs w:val="22"/>
              </w:rPr>
            </w:pPr>
          </w:p>
        </w:tc>
        <w:tc>
          <w:tcPr>
            <w:tcW w:w="284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收费出入口提示</w:t>
            </w:r>
          </w:p>
        </w:tc>
      </w:tr>
      <w:tr>
        <w:tblPrEx>
          <w:tblCellMar>
            <w:top w:w="0" w:type="dxa"/>
            <w:left w:w="0" w:type="dxa"/>
            <w:bottom w:w="0" w:type="dxa"/>
            <w:right w:w="0" w:type="dxa"/>
          </w:tblCellMar>
        </w:tblPrEx>
        <w:trPr>
          <w:trHeight w:val="280" w:hRule="atLeast"/>
        </w:trPr>
        <w:tc>
          <w:tcPr>
            <w:tcW w:w="61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10</w:t>
            </w:r>
          </w:p>
        </w:tc>
        <w:tc>
          <w:tcPr>
            <w:tcW w:w="240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指示说明</w:t>
            </w:r>
          </w:p>
        </w:tc>
        <w:tc>
          <w:tcPr>
            <w:tcW w:w="73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w:t>
            </w: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批</w:t>
            </w: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 w:val="22"/>
                <w:szCs w:val="22"/>
              </w:rPr>
            </w:pP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 w:val="22"/>
                <w:szCs w:val="22"/>
              </w:rPr>
            </w:pPr>
          </w:p>
        </w:tc>
        <w:tc>
          <w:tcPr>
            <w:tcW w:w="284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含缴费、进出口提示等动线提示（按审批要求和园区实际）</w:t>
            </w:r>
          </w:p>
        </w:tc>
      </w:tr>
      <w:tr>
        <w:tblPrEx>
          <w:tblCellMar>
            <w:top w:w="0" w:type="dxa"/>
            <w:left w:w="0" w:type="dxa"/>
            <w:bottom w:w="0" w:type="dxa"/>
            <w:right w:w="0" w:type="dxa"/>
          </w:tblCellMar>
        </w:tblPrEx>
        <w:trPr>
          <w:trHeight w:val="280" w:hRule="atLeast"/>
        </w:trPr>
        <w:tc>
          <w:tcPr>
            <w:tcW w:w="61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11</w:t>
            </w:r>
          </w:p>
        </w:tc>
        <w:tc>
          <w:tcPr>
            <w:tcW w:w="240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施工辅材（网线、电线等）</w:t>
            </w:r>
          </w:p>
        </w:tc>
        <w:tc>
          <w:tcPr>
            <w:tcW w:w="73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w:t>
            </w: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批</w:t>
            </w: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 w:val="22"/>
                <w:szCs w:val="22"/>
              </w:rPr>
            </w:pP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 w:val="22"/>
                <w:szCs w:val="22"/>
              </w:rPr>
            </w:pPr>
          </w:p>
        </w:tc>
        <w:tc>
          <w:tcPr>
            <w:tcW w:w="284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kern w:val="0"/>
                <w:sz w:val="22"/>
                <w:szCs w:val="22"/>
              </w:rPr>
            </w:pPr>
          </w:p>
        </w:tc>
      </w:tr>
      <w:tr>
        <w:tblPrEx>
          <w:tblCellMar>
            <w:top w:w="0" w:type="dxa"/>
            <w:left w:w="0" w:type="dxa"/>
            <w:bottom w:w="0" w:type="dxa"/>
            <w:right w:w="0" w:type="dxa"/>
          </w:tblCellMar>
        </w:tblPrEx>
        <w:trPr>
          <w:trHeight w:val="280" w:hRule="atLeast"/>
        </w:trPr>
        <w:tc>
          <w:tcPr>
            <w:tcW w:w="61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12</w:t>
            </w:r>
          </w:p>
        </w:tc>
        <w:tc>
          <w:tcPr>
            <w:tcW w:w="240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机柜</w:t>
            </w:r>
          </w:p>
        </w:tc>
        <w:tc>
          <w:tcPr>
            <w:tcW w:w="73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w:t>
            </w: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台</w:t>
            </w: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 w:val="22"/>
                <w:szCs w:val="22"/>
              </w:rPr>
            </w:pP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 w:val="22"/>
                <w:szCs w:val="22"/>
              </w:rPr>
            </w:pPr>
          </w:p>
        </w:tc>
        <w:tc>
          <w:tcPr>
            <w:tcW w:w="284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无人收费出口安装电脑用</w:t>
            </w:r>
          </w:p>
        </w:tc>
      </w:tr>
      <w:tr>
        <w:tblPrEx>
          <w:tblCellMar>
            <w:top w:w="0" w:type="dxa"/>
            <w:left w:w="0" w:type="dxa"/>
            <w:bottom w:w="0" w:type="dxa"/>
            <w:right w:w="0" w:type="dxa"/>
          </w:tblCellMar>
        </w:tblPrEx>
        <w:trPr>
          <w:trHeight w:val="280" w:hRule="atLeast"/>
        </w:trPr>
        <w:tc>
          <w:tcPr>
            <w:tcW w:w="61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13</w:t>
            </w:r>
          </w:p>
        </w:tc>
        <w:tc>
          <w:tcPr>
            <w:tcW w:w="240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安全岛（3000*600*150）</w:t>
            </w:r>
          </w:p>
        </w:tc>
        <w:tc>
          <w:tcPr>
            <w:tcW w:w="73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w:t>
            </w: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个</w:t>
            </w: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 w:val="22"/>
                <w:szCs w:val="22"/>
              </w:rPr>
            </w:pP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 w:val="22"/>
                <w:szCs w:val="22"/>
              </w:rPr>
            </w:pPr>
          </w:p>
        </w:tc>
        <w:tc>
          <w:tcPr>
            <w:tcW w:w="2844" w:type="dxa"/>
            <w:vMerge w:val="restart"/>
            <w:tcBorders>
              <w:top w:val="single" w:color="000000" w:sz="4" w:space="0"/>
              <w:left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按审批要求和园区实际</w:t>
            </w:r>
          </w:p>
        </w:tc>
      </w:tr>
      <w:tr>
        <w:tblPrEx>
          <w:tblCellMar>
            <w:top w:w="0" w:type="dxa"/>
            <w:left w:w="0" w:type="dxa"/>
            <w:bottom w:w="0" w:type="dxa"/>
            <w:right w:w="0" w:type="dxa"/>
          </w:tblCellMar>
        </w:tblPrEx>
        <w:trPr>
          <w:trHeight w:val="280" w:hRule="atLeast"/>
        </w:trPr>
        <w:tc>
          <w:tcPr>
            <w:tcW w:w="61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14</w:t>
            </w:r>
          </w:p>
        </w:tc>
        <w:tc>
          <w:tcPr>
            <w:tcW w:w="240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安全岛（1000*600*150）</w:t>
            </w:r>
          </w:p>
        </w:tc>
        <w:tc>
          <w:tcPr>
            <w:tcW w:w="73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2</w:t>
            </w: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个</w:t>
            </w: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 w:val="22"/>
                <w:szCs w:val="22"/>
              </w:rPr>
            </w:pP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 w:val="22"/>
                <w:szCs w:val="22"/>
              </w:rPr>
            </w:pPr>
          </w:p>
        </w:tc>
        <w:tc>
          <w:tcPr>
            <w:tcW w:w="2844" w:type="dxa"/>
            <w:vMerge w:val="continue"/>
            <w:tcBorders>
              <w:left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kern w:val="0"/>
                <w:sz w:val="22"/>
                <w:szCs w:val="22"/>
              </w:rPr>
            </w:pPr>
          </w:p>
        </w:tc>
      </w:tr>
      <w:tr>
        <w:tblPrEx>
          <w:tblCellMar>
            <w:top w:w="0" w:type="dxa"/>
            <w:left w:w="0" w:type="dxa"/>
            <w:bottom w:w="0" w:type="dxa"/>
            <w:right w:w="0" w:type="dxa"/>
          </w:tblCellMar>
        </w:tblPrEx>
        <w:trPr>
          <w:trHeight w:val="280" w:hRule="atLeast"/>
        </w:trPr>
        <w:tc>
          <w:tcPr>
            <w:tcW w:w="61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15</w:t>
            </w:r>
          </w:p>
        </w:tc>
        <w:tc>
          <w:tcPr>
            <w:tcW w:w="240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安全岛（600*600*150）</w:t>
            </w:r>
          </w:p>
        </w:tc>
        <w:tc>
          <w:tcPr>
            <w:tcW w:w="73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3</w:t>
            </w: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个</w:t>
            </w: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 w:val="22"/>
                <w:szCs w:val="22"/>
              </w:rPr>
            </w:pP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 w:val="22"/>
                <w:szCs w:val="22"/>
              </w:rPr>
            </w:pPr>
          </w:p>
        </w:tc>
        <w:tc>
          <w:tcPr>
            <w:tcW w:w="2844" w:type="dxa"/>
            <w:vMerge w:val="continue"/>
            <w:tcBorders>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kern w:val="0"/>
                <w:sz w:val="22"/>
                <w:szCs w:val="22"/>
              </w:rPr>
            </w:pPr>
          </w:p>
        </w:tc>
      </w:tr>
      <w:tr>
        <w:tblPrEx>
          <w:tblCellMar>
            <w:top w:w="0" w:type="dxa"/>
            <w:left w:w="0" w:type="dxa"/>
            <w:bottom w:w="0" w:type="dxa"/>
            <w:right w:w="0" w:type="dxa"/>
          </w:tblCellMar>
        </w:tblPrEx>
        <w:trPr>
          <w:trHeight w:val="280" w:hRule="atLeast"/>
        </w:trPr>
        <w:tc>
          <w:tcPr>
            <w:tcW w:w="61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16</w:t>
            </w:r>
          </w:p>
        </w:tc>
        <w:tc>
          <w:tcPr>
            <w:tcW w:w="240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施工费</w:t>
            </w:r>
          </w:p>
        </w:tc>
        <w:tc>
          <w:tcPr>
            <w:tcW w:w="73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w:t>
            </w: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批</w:t>
            </w: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 w:val="22"/>
                <w:szCs w:val="22"/>
              </w:rPr>
            </w:pP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 w:val="22"/>
                <w:szCs w:val="22"/>
              </w:rPr>
            </w:pPr>
          </w:p>
        </w:tc>
        <w:tc>
          <w:tcPr>
            <w:tcW w:w="284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含迁移五台道闸费用</w:t>
            </w:r>
          </w:p>
        </w:tc>
      </w:tr>
      <w:tr>
        <w:tblPrEx>
          <w:tblCellMar>
            <w:top w:w="0" w:type="dxa"/>
            <w:left w:w="0" w:type="dxa"/>
            <w:bottom w:w="0" w:type="dxa"/>
            <w:right w:w="0" w:type="dxa"/>
          </w:tblCellMar>
        </w:tblPrEx>
        <w:trPr>
          <w:trHeight w:val="280" w:hRule="atLeast"/>
        </w:trPr>
        <w:tc>
          <w:tcPr>
            <w:tcW w:w="61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17</w:t>
            </w:r>
          </w:p>
        </w:tc>
        <w:tc>
          <w:tcPr>
            <w:tcW w:w="240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收费系统</w:t>
            </w:r>
          </w:p>
        </w:tc>
        <w:tc>
          <w:tcPr>
            <w:tcW w:w="73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1</w:t>
            </w: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eastAsia="宋体" w:cs="宋体"/>
                <w:color w:val="000000"/>
                <w:kern w:val="0"/>
                <w:sz w:val="22"/>
                <w:szCs w:val="22"/>
                <w:lang w:val="en-US" w:eastAsia="zh-CN" w:bidi="ar-SA"/>
              </w:rPr>
            </w:pPr>
            <w:r>
              <w:rPr>
                <w:rFonts w:hint="eastAsia" w:ascii="宋体" w:hAnsi="宋体" w:cs="宋体"/>
                <w:color w:val="000000"/>
                <w:kern w:val="0"/>
                <w:sz w:val="22"/>
                <w:szCs w:val="22"/>
              </w:rPr>
              <w:t>件</w:t>
            </w: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 w:val="22"/>
                <w:szCs w:val="22"/>
              </w:rPr>
            </w:pP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 w:val="22"/>
                <w:szCs w:val="22"/>
              </w:rPr>
            </w:pPr>
          </w:p>
        </w:tc>
        <w:tc>
          <w:tcPr>
            <w:tcW w:w="284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kern w:val="0"/>
                <w:sz w:val="22"/>
                <w:szCs w:val="22"/>
              </w:rPr>
            </w:pPr>
            <w:r>
              <w:rPr>
                <w:rFonts w:hint="eastAsia" w:ascii="宋体" w:hAnsi="宋体" w:cs="宋体"/>
                <w:color w:val="000000"/>
                <w:kern w:val="0"/>
                <w:sz w:val="22"/>
                <w:szCs w:val="22"/>
              </w:rPr>
              <w:t>含网络支付系统</w:t>
            </w:r>
          </w:p>
        </w:tc>
      </w:tr>
      <w:tr>
        <w:tblPrEx>
          <w:tblCellMar>
            <w:top w:w="0" w:type="dxa"/>
            <w:left w:w="0" w:type="dxa"/>
            <w:bottom w:w="0" w:type="dxa"/>
            <w:right w:w="0" w:type="dxa"/>
          </w:tblCellMar>
        </w:tblPrEx>
        <w:trPr>
          <w:trHeight w:val="280" w:hRule="atLeast"/>
        </w:trPr>
        <w:tc>
          <w:tcPr>
            <w:tcW w:w="616"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18</w:t>
            </w:r>
          </w:p>
        </w:tc>
        <w:tc>
          <w:tcPr>
            <w:tcW w:w="240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eastAsia="zh-CN"/>
              </w:rPr>
              <w:t>合计</w:t>
            </w:r>
          </w:p>
        </w:tc>
        <w:tc>
          <w:tcPr>
            <w:tcW w:w="732"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 w:val="22"/>
                <w:szCs w:val="22"/>
              </w:rPr>
            </w:pP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kern w:val="0"/>
                <w:sz w:val="22"/>
                <w:szCs w:val="22"/>
              </w:rPr>
            </w:pP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 w:val="22"/>
                <w:szCs w:val="22"/>
              </w:rPr>
            </w:pPr>
          </w:p>
        </w:tc>
        <w:tc>
          <w:tcPr>
            <w:tcW w:w="720"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center"/>
              <w:textAlignment w:val="center"/>
              <w:rPr>
                <w:rFonts w:hint="eastAsia" w:ascii="宋体" w:hAnsi="宋体" w:cs="宋体"/>
                <w:color w:val="000000"/>
                <w:kern w:val="0"/>
                <w:sz w:val="22"/>
                <w:szCs w:val="22"/>
              </w:rPr>
            </w:pPr>
          </w:p>
        </w:tc>
        <w:tc>
          <w:tcPr>
            <w:tcW w:w="2844" w:type="dxa"/>
            <w:tcBorders>
              <w:top w:val="single" w:color="000000" w:sz="4" w:space="0"/>
              <w:left w:val="single" w:color="000000" w:sz="4" w:space="0"/>
              <w:bottom w:val="single" w:color="000000" w:sz="4" w:space="0"/>
              <w:right w:val="single" w:color="000000" w:sz="4" w:space="0"/>
            </w:tcBorders>
            <w:noWrap/>
            <w:tcMar>
              <w:top w:w="10" w:type="dxa"/>
              <w:left w:w="10" w:type="dxa"/>
              <w:right w:w="10" w:type="dxa"/>
            </w:tcMar>
            <w:vAlign w:val="center"/>
          </w:tcPr>
          <w:p>
            <w:pPr>
              <w:widowControl/>
              <w:jc w:val="left"/>
              <w:textAlignment w:val="center"/>
              <w:rPr>
                <w:rFonts w:hint="eastAsia" w:ascii="宋体" w:hAnsi="宋体" w:cs="宋体"/>
                <w:color w:val="000000"/>
                <w:kern w:val="0"/>
                <w:sz w:val="22"/>
                <w:szCs w:val="22"/>
              </w:rPr>
            </w:pPr>
          </w:p>
        </w:tc>
      </w:tr>
    </w:tbl>
    <w:p>
      <w:pPr>
        <w:snapToGrid w:val="0"/>
        <w:spacing w:line="420" w:lineRule="exact"/>
        <w:ind w:left="1133" w:hanging="1132" w:hangingChars="472"/>
        <w:rPr>
          <w:rFonts w:ascii="宋体" w:hAnsi="宋体"/>
          <w:sz w:val="24"/>
        </w:rPr>
      </w:pPr>
      <w:r>
        <w:rPr>
          <w:rFonts w:hint="eastAsia" w:ascii="宋体" w:hAnsi="宋体"/>
          <w:sz w:val="24"/>
        </w:rPr>
        <w:t xml:space="preserve">竞磋人：（盖章）             </w:t>
      </w:r>
    </w:p>
    <w:p>
      <w:pPr>
        <w:snapToGrid w:val="0"/>
        <w:spacing w:line="420" w:lineRule="exact"/>
        <w:ind w:left="1133" w:hanging="1132" w:hangingChars="472"/>
        <w:rPr>
          <w:rFonts w:ascii="宋体" w:hAnsi="宋体"/>
          <w:sz w:val="24"/>
        </w:rPr>
      </w:pPr>
      <w:r>
        <w:rPr>
          <w:rFonts w:hint="eastAsia" w:ascii="宋体" w:hAnsi="宋体"/>
          <w:sz w:val="24"/>
        </w:rPr>
        <w:t>法定代表人或被委托受权人（签字）：</w:t>
      </w:r>
    </w:p>
    <w:p>
      <w:pPr>
        <w:snapToGrid w:val="0"/>
        <w:spacing w:line="420" w:lineRule="exact"/>
        <w:ind w:left="1133" w:hanging="1132" w:hangingChars="472"/>
        <w:rPr>
          <w:rFonts w:ascii="宋体" w:hAnsi="宋体"/>
          <w:sz w:val="24"/>
        </w:rPr>
      </w:pPr>
      <w:r>
        <w:rPr>
          <w:rFonts w:hint="eastAsia" w:ascii="宋体" w:hAnsi="宋体"/>
          <w:sz w:val="24"/>
        </w:rPr>
        <w:t>日期：</w:t>
      </w:r>
    </w:p>
    <w:p>
      <w:pPr>
        <w:snapToGrid w:val="0"/>
        <w:spacing w:line="420" w:lineRule="exact"/>
        <w:rPr>
          <w:rFonts w:ascii="宋体" w:hAnsi="宋体"/>
          <w:sz w:val="24"/>
        </w:rPr>
      </w:pPr>
      <w:r>
        <w:rPr>
          <w:rFonts w:hint="eastAsia" w:ascii="宋体" w:hAnsi="宋体"/>
          <w:sz w:val="24"/>
        </w:rPr>
        <w:t>注：</w:t>
      </w:r>
      <w:r>
        <w:rPr>
          <w:rFonts w:hint="eastAsia" w:ascii="宋体" w:hAnsi="宋体"/>
          <w:sz w:val="24"/>
          <w:lang w:eastAsia="zh-CN"/>
        </w:rPr>
        <w:t>（</w:t>
      </w:r>
      <w:r>
        <w:rPr>
          <w:rFonts w:hint="eastAsia" w:ascii="宋体" w:hAnsi="宋体"/>
          <w:sz w:val="24"/>
          <w:lang w:val="en-US" w:eastAsia="zh-CN"/>
        </w:rPr>
        <w:t>1</w:t>
      </w:r>
      <w:r>
        <w:rPr>
          <w:rFonts w:hint="eastAsia" w:ascii="宋体" w:hAnsi="宋体"/>
          <w:sz w:val="24"/>
          <w:lang w:eastAsia="zh-CN"/>
        </w:rPr>
        <w:t>）</w:t>
      </w:r>
      <w:r>
        <w:rPr>
          <w:rFonts w:hint="eastAsia" w:ascii="宋体" w:hAnsi="宋体"/>
          <w:sz w:val="24"/>
        </w:rPr>
        <w:t>本表为格式表，不得自行改动，必须提供，否则视为未实质性响应磋商采购文件。</w:t>
      </w:r>
    </w:p>
    <w:p>
      <w:pPr>
        <w:snapToGrid w:val="0"/>
        <w:spacing w:line="420" w:lineRule="exact"/>
        <w:ind w:firstLine="240" w:firstLineChars="100"/>
        <w:rPr>
          <w:rFonts w:ascii="宋体" w:hAnsi="宋体"/>
          <w:sz w:val="24"/>
        </w:rPr>
      </w:pPr>
      <w:r>
        <w:rPr>
          <w:rFonts w:hint="eastAsia" w:ascii="宋体" w:hAnsi="宋体"/>
          <w:sz w:val="24"/>
        </w:rPr>
        <w:t>（2）说明：本项目最高限价12万元，各供应商的报价不得高于最高限价，超过该限价作无效磋商处理。</w:t>
      </w:r>
    </w:p>
    <w:p>
      <w:pPr>
        <w:snapToGrid w:val="0"/>
        <w:spacing w:line="520" w:lineRule="exact"/>
        <w:ind w:firstLine="240" w:firstLineChars="100"/>
        <w:jc w:val="left"/>
        <w:rPr>
          <w:sz w:val="28"/>
        </w:rPr>
      </w:pPr>
      <w:r>
        <w:rPr>
          <w:rFonts w:hint="eastAsia" w:ascii="宋体" w:hAnsi="宋体"/>
          <w:sz w:val="24"/>
        </w:rPr>
        <w:t>（3）磋商报价包含采购文件所确定的南通市产业技术研究院</w:t>
      </w:r>
      <w:r>
        <w:rPr>
          <w:rFonts w:hint="eastAsia" w:ascii="宋体" w:hAnsi="宋体"/>
          <w:sz w:val="24"/>
          <w:lang w:eastAsia="zh-CN"/>
        </w:rPr>
        <w:t>停车场收费管理系统</w:t>
      </w:r>
      <w:r>
        <w:rPr>
          <w:rFonts w:hint="eastAsia" w:ascii="宋体" w:hAnsi="宋体"/>
          <w:sz w:val="24"/>
        </w:rPr>
        <w:t xml:space="preserve">外包范围内的全部工作人员和内容的价格体现，是为完成采购文件规定的运营维护工作所涉及到的一切费用。包括但不限于如人工、备件、易耗品耗材、专用工具费用及相关劳务支出等工作所发生的全部费用以及供应商企业利润、税金、招标代理费和政策性文件规定及合同包含的所有风险、责任，即响应本项目的各项应有费用。 </w:t>
      </w:r>
    </w:p>
    <w:sectPr>
      <w:pgSz w:w="11907" w:h="16839"/>
      <w:pgMar w:top="1440" w:right="726" w:bottom="873" w:left="1236" w:header="720" w:footer="720"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rPr>
        <w:lang w:val="zh-CN"/>
      </w:rPr>
      <w:t>1</w:t>
    </w:r>
    <w:r>
      <w:fldChar w:fldCharType="end"/>
    </w:r>
  </w:p>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E062FD"/>
    <w:multiLevelType w:val="singleLevel"/>
    <w:tmpl w:val="85E062FD"/>
    <w:lvl w:ilvl="0" w:tentative="0">
      <w:start w:val="3"/>
      <w:numFmt w:val="chineseCounting"/>
      <w:suff w:val="nothing"/>
      <w:lvlText w:val="%1、"/>
      <w:lvlJc w:val="left"/>
      <w:rPr>
        <w:rFonts w:hint="eastAsia"/>
      </w:rPr>
    </w:lvl>
  </w:abstractNum>
  <w:abstractNum w:abstractNumId="1">
    <w:nsid w:val="18712BDF"/>
    <w:multiLevelType w:val="singleLevel"/>
    <w:tmpl w:val="18712BDF"/>
    <w:lvl w:ilvl="0" w:tentative="0">
      <w:start w:val="3"/>
      <w:numFmt w:val="decimal"/>
      <w:suff w:val="nothing"/>
      <w:lvlText w:val="%1、"/>
      <w:lvlJc w:val="left"/>
    </w:lvl>
  </w:abstractNum>
  <w:abstractNum w:abstractNumId="2">
    <w:nsid w:val="2262DAA8"/>
    <w:multiLevelType w:val="singleLevel"/>
    <w:tmpl w:val="2262DAA8"/>
    <w:lvl w:ilvl="0" w:tentative="0">
      <w:start w:val="2"/>
      <w:numFmt w:val="chineseCounting"/>
      <w:suff w:val="nothing"/>
      <w:lvlText w:val="%1、"/>
      <w:lvlJc w:val="left"/>
      <w:rPr>
        <w:rFonts w:hint="eastAsia"/>
      </w:rPr>
    </w:lvl>
  </w:abstractNum>
  <w:abstractNum w:abstractNumId="3">
    <w:nsid w:val="33E0770E"/>
    <w:multiLevelType w:val="singleLevel"/>
    <w:tmpl w:val="33E0770E"/>
    <w:lvl w:ilvl="0" w:tentative="0">
      <w:start w:val="1"/>
      <w:numFmt w:val="decimal"/>
      <w:lvlText w:val="%1."/>
      <w:lvlJc w:val="left"/>
      <w:pPr>
        <w:tabs>
          <w:tab w:val="left" w:pos="312"/>
        </w:tabs>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43"/>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28C"/>
    <w:rsid w:val="00004FB3"/>
    <w:rsid w:val="00011F29"/>
    <w:rsid w:val="00027214"/>
    <w:rsid w:val="00035F29"/>
    <w:rsid w:val="000363E7"/>
    <w:rsid w:val="00040BC7"/>
    <w:rsid w:val="0006533C"/>
    <w:rsid w:val="000707B4"/>
    <w:rsid w:val="000733BC"/>
    <w:rsid w:val="000733D5"/>
    <w:rsid w:val="00077641"/>
    <w:rsid w:val="00077E77"/>
    <w:rsid w:val="000811BB"/>
    <w:rsid w:val="000860E4"/>
    <w:rsid w:val="000C6148"/>
    <w:rsid w:val="000C6432"/>
    <w:rsid w:val="000E2F2C"/>
    <w:rsid w:val="000F23EA"/>
    <w:rsid w:val="000F28DF"/>
    <w:rsid w:val="00101623"/>
    <w:rsid w:val="00103C40"/>
    <w:rsid w:val="00116E44"/>
    <w:rsid w:val="001244CE"/>
    <w:rsid w:val="0012592D"/>
    <w:rsid w:val="00132D06"/>
    <w:rsid w:val="00137F66"/>
    <w:rsid w:val="0014584D"/>
    <w:rsid w:val="00150D31"/>
    <w:rsid w:val="001514AC"/>
    <w:rsid w:val="001570D4"/>
    <w:rsid w:val="00160309"/>
    <w:rsid w:val="0016109E"/>
    <w:rsid w:val="00173C44"/>
    <w:rsid w:val="0017626E"/>
    <w:rsid w:val="001903D4"/>
    <w:rsid w:val="001A1AC6"/>
    <w:rsid w:val="001A3EDD"/>
    <w:rsid w:val="001A67C9"/>
    <w:rsid w:val="001D279A"/>
    <w:rsid w:val="001D4EC2"/>
    <w:rsid w:val="001D7CA5"/>
    <w:rsid w:val="001E1433"/>
    <w:rsid w:val="001F4F3E"/>
    <w:rsid w:val="001F7EC5"/>
    <w:rsid w:val="002007BF"/>
    <w:rsid w:val="00204B7C"/>
    <w:rsid w:val="0022432E"/>
    <w:rsid w:val="002244DA"/>
    <w:rsid w:val="00224EE5"/>
    <w:rsid w:val="00234DAB"/>
    <w:rsid w:val="002468F0"/>
    <w:rsid w:val="00250900"/>
    <w:rsid w:val="002602DD"/>
    <w:rsid w:val="002840DC"/>
    <w:rsid w:val="00291471"/>
    <w:rsid w:val="00294605"/>
    <w:rsid w:val="002A1054"/>
    <w:rsid w:val="002A7F5E"/>
    <w:rsid w:val="002C02A7"/>
    <w:rsid w:val="002C221F"/>
    <w:rsid w:val="002C29D9"/>
    <w:rsid w:val="002C72A6"/>
    <w:rsid w:val="002D789B"/>
    <w:rsid w:val="002E0E57"/>
    <w:rsid w:val="002E1B37"/>
    <w:rsid w:val="002E27F7"/>
    <w:rsid w:val="002E42CD"/>
    <w:rsid w:val="002E56B3"/>
    <w:rsid w:val="002E7263"/>
    <w:rsid w:val="002F6EC6"/>
    <w:rsid w:val="003009D5"/>
    <w:rsid w:val="00300A5F"/>
    <w:rsid w:val="00314C38"/>
    <w:rsid w:val="00320476"/>
    <w:rsid w:val="00320F80"/>
    <w:rsid w:val="00321CBF"/>
    <w:rsid w:val="00334C59"/>
    <w:rsid w:val="0034028F"/>
    <w:rsid w:val="00355DE5"/>
    <w:rsid w:val="00381D8F"/>
    <w:rsid w:val="00385B36"/>
    <w:rsid w:val="0039137F"/>
    <w:rsid w:val="00395FAE"/>
    <w:rsid w:val="003B1C66"/>
    <w:rsid w:val="003B5148"/>
    <w:rsid w:val="003D06E5"/>
    <w:rsid w:val="003D4401"/>
    <w:rsid w:val="003D64B6"/>
    <w:rsid w:val="003E180B"/>
    <w:rsid w:val="003E4A62"/>
    <w:rsid w:val="003F1853"/>
    <w:rsid w:val="003F3E0C"/>
    <w:rsid w:val="003F5D1B"/>
    <w:rsid w:val="00403B9D"/>
    <w:rsid w:val="004101B0"/>
    <w:rsid w:val="00410D0B"/>
    <w:rsid w:val="00417B67"/>
    <w:rsid w:val="00432FD1"/>
    <w:rsid w:val="004358AD"/>
    <w:rsid w:val="00435AA8"/>
    <w:rsid w:val="00443C88"/>
    <w:rsid w:val="0044543D"/>
    <w:rsid w:val="00452A22"/>
    <w:rsid w:val="00456B89"/>
    <w:rsid w:val="00461B41"/>
    <w:rsid w:val="00462EA0"/>
    <w:rsid w:val="0047091B"/>
    <w:rsid w:val="00472FA9"/>
    <w:rsid w:val="00476030"/>
    <w:rsid w:val="00480AC6"/>
    <w:rsid w:val="00481750"/>
    <w:rsid w:val="0048181A"/>
    <w:rsid w:val="00483895"/>
    <w:rsid w:val="00497322"/>
    <w:rsid w:val="004A704F"/>
    <w:rsid w:val="004B4B6D"/>
    <w:rsid w:val="004C1B27"/>
    <w:rsid w:val="004D144D"/>
    <w:rsid w:val="004D2202"/>
    <w:rsid w:val="004D2E8C"/>
    <w:rsid w:val="004D3773"/>
    <w:rsid w:val="004E2A00"/>
    <w:rsid w:val="004E3BF5"/>
    <w:rsid w:val="00503BA7"/>
    <w:rsid w:val="00513B39"/>
    <w:rsid w:val="00515B97"/>
    <w:rsid w:val="0052071E"/>
    <w:rsid w:val="00521230"/>
    <w:rsid w:val="00542B48"/>
    <w:rsid w:val="00554692"/>
    <w:rsid w:val="00556006"/>
    <w:rsid w:val="005569D2"/>
    <w:rsid w:val="00574BC3"/>
    <w:rsid w:val="00585FAF"/>
    <w:rsid w:val="00586E7E"/>
    <w:rsid w:val="005909CE"/>
    <w:rsid w:val="005B02F9"/>
    <w:rsid w:val="005B0E49"/>
    <w:rsid w:val="005B1F16"/>
    <w:rsid w:val="005C06AF"/>
    <w:rsid w:val="005C20F7"/>
    <w:rsid w:val="005C2ABD"/>
    <w:rsid w:val="005C38A7"/>
    <w:rsid w:val="005D2DCB"/>
    <w:rsid w:val="005D74DF"/>
    <w:rsid w:val="005F16EC"/>
    <w:rsid w:val="005F60A5"/>
    <w:rsid w:val="006001DA"/>
    <w:rsid w:val="00603D1A"/>
    <w:rsid w:val="006045AF"/>
    <w:rsid w:val="00610383"/>
    <w:rsid w:val="00615983"/>
    <w:rsid w:val="00616192"/>
    <w:rsid w:val="00655F61"/>
    <w:rsid w:val="00670CCF"/>
    <w:rsid w:val="006771C9"/>
    <w:rsid w:val="0069299B"/>
    <w:rsid w:val="006A5D76"/>
    <w:rsid w:val="006C5AA4"/>
    <w:rsid w:val="006D12EF"/>
    <w:rsid w:val="006D6598"/>
    <w:rsid w:val="006D6A87"/>
    <w:rsid w:val="006D6D47"/>
    <w:rsid w:val="006E5AD6"/>
    <w:rsid w:val="00700C93"/>
    <w:rsid w:val="00714C6D"/>
    <w:rsid w:val="00717570"/>
    <w:rsid w:val="00717CC3"/>
    <w:rsid w:val="007300A3"/>
    <w:rsid w:val="007306B8"/>
    <w:rsid w:val="00747E37"/>
    <w:rsid w:val="007536EF"/>
    <w:rsid w:val="00760802"/>
    <w:rsid w:val="00760CB0"/>
    <w:rsid w:val="00773A5D"/>
    <w:rsid w:val="00776D95"/>
    <w:rsid w:val="00793250"/>
    <w:rsid w:val="00795EB9"/>
    <w:rsid w:val="007A116D"/>
    <w:rsid w:val="007B0654"/>
    <w:rsid w:val="007B10D0"/>
    <w:rsid w:val="007B5B52"/>
    <w:rsid w:val="007B6989"/>
    <w:rsid w:val="007B77F4"/>
    <w:rsid w:val="007C41BC"/>
    <w:rsid w:val="007E04C2"/>
    <w:rsid w:val="007E4448"/>
    <w:rsid w:val="007F098A"/>
    <w:rsid w:val="00800DC9"/>
    <w:rsid w:val="0080270D"/>
    <w:rsid w:val="00803663"/>
    <w:rsid w:val="0081539D"/>
    <w:rsid w:val="00826495"/>
    <w:rsid w:val="00827AB4"/>
    <w:rsid w:val="00832CB5"/>
    <w:rsid w:val="00834E31"/>
    <w:rsid w:val="00835269"/>
    <w:rsid w:val="00843E6D"/>
    <w:rsid w:val="00851F7D"/>
    <w:rsid w:val="008535D2"/>
    <w:rsid w:val="00861D87"/>
    <w:rsid w:val="0086246D"/>
    <w:rsid w:val="00862904"/>
    <w:rsid w:val="0087299F"/>
    <w:rsid w:val="008858B1"/>
    <w:rsid w:val="00887FD2"/>
    <w:rsid w:val="00895657"/>
    <w:rsid w:val="008966C9"/>
    <w:rsid w:val="00897A59"/>
    <w:rsid w:val="008A2A50"/>
    <w:rsid w:val="008A4BAB"/>
    <w:rsid w:val="008C67B4"/>
    <w:rsid w:val="008D19E0"/>
    <w:rsid w:val="008E05A2"/>
    <w:rsid w:val="008E0F02"/>
    <w:rsid w:val="008F141B"/>
    <w:rsid w:val="008F5E85"/>
    <w:rsid w:val="009015EF"/>
    <w:rsid w:val="00901DB7"/>
    <w:rsid w:val="00904499"/>
    <w:rsid w:val="00904AA6"/>
    <w:rsid w:val="00906B25"/>
    <w:rsid w:val="009313F0"/>
    <w:rsid w:val="00937D34"/>
    <w:rsid w:val="0095029E"/>
    <w:rsid w:val="009666EA"/>
    <w:rsid w:val="00970A22"/>
    <w:rsid w:val="00981AB2"/>
    <w:rsid w:val="0099104D"/>
    <w:rsid w:val="009A2102"/>
    <w:rsid w:val="009A6905"/>
    <w:rsid w:val="009B2C76"/>
    <w:rsid w:val="009C1E60"/>
    <w:rsid w:val="009C2B05"/>
    <w:rsid w:val="009C44F2"/>
    <w:rsid w:val="009C62C2"/>
    <w:rsid w:val="009D3960"/>
    <w:rsid w:val="009E25F3"/>
    <w:rsid w:val="009E33FD"/>
    <w:rsid w:val="00A044A5"/>
    <w:rsid w:val="00A06A12"/>
    <w:rsid w:val="00A140A1"/>
    <w:rsid w:val="00A21B17"/>
    <w:rsid w:val="00A22E72"/>
    <w:rsid w:val="00A60435"/>
    <w:rsid w:val="00A63925"/>
    <w:rsid w:val="00A63EC2"/>
    <w:rsid w:val="00A70DDB"/>
    <w:rsid w:val="00A839D1"/>
    <w:rsid w:val="00A85F9C"/>
    <w:rsid w:val="00A95477"/>
    <w:rsid w:val="00A97D32"/>
    <w:rsid w:val="00AA2866"/>
    <w:rsid w:val="00AA2A90"/>
    <w:rsid w:val="00AA664D"/>
    <w:rsid w:val="00AB44AD"/>
    <w:rsid w:val="00AB751F"/>
    <w:rsid w:val="00AC0D38"/>
    <w:rsid w:val="00AC3BE8"/>
    <w:rsid w:val="00AD03F1"/>
    <w:rsid w:val="00AF0BB1"/>
    <w:rsid w:val="00AF201C"/>
    <w:rsid w:val="00AF400D"/>
    <w:rsid w:val="00B04FC9"/>
    <w:rsid w:val="00B12DBC"/>
    <w:rsid w:val="00B31C19"/>
    <w:rsid w:val="00B37478"/>
    <w:rsid w:val="00B70F8B"/>
    <w:rsid w:val="00B74502"/>
    <w:rsid w:val="00B76EB7"/>
    <w:rsid w:val="00BA4B7B"/>
    <w:rsid w:val="00BB1214"/>
    <w:rsid w:val="00BC7BC3"/>
    <w:rsid w:val="00BD0960"/>
    <w:rsid w:val="00BD3F6A"/>
    <w:rsid w:val="00BF185F"/>
    <w:rsid w:val="00BF7E9A"/>
    <w:rsid w:val="00C00D7C"/>
    <w:rsid w:val="00C0231B"/>
    <w:rsid w:val="00C10771"/>
    <w:rsid w:val="00C11030"/>
    <w:rsid w:val="00C13466"/>
    <w:rsid w:val="00C134F4"/>
    <w:rsid w:val="00C3671A"/>
    <w:rsid w:val="00C558CC"/>
    <w:rsid w:val="00C55FAC"/>
    <w:rsid w:val="00C63986"/>
    <w:rsid w:val="00C70515"/>
    <w:rsid w:val="00C85E5E"/>
    <w:rsid w:val="00C86F1B"/>
    <w:rsid w:val="00C916C0"/>
    <w:rsid w:val="00C95930"/>
    <w:rsid w:val="00C97BB8"/>
    <w:rsid w:val="00CA1A4C"/>
    <w:rsid w:val="00CB6600"/>
    <w:rsid w:val="00CB7762"/>
    <w:rsid w:val="00CC30E1"/>
    <w:rsid w:val="00CC3457"/>
    <w:rsid w:val="00CD3768"/>
    <w:rsid w:val="00CD5D9B"/>
    <w:rsid w:val="00CD756F"/>
    <w:rsid w:val="00D10242"/>
    <w:rsid w:val="00D13E9D"/>
    <w:rsid w:val="00D148F7"/>
    <w:rsid w:val="00D23F94"/>
    <w:rsid w:val="00D26F6D"/>
    <w:rsid w:val="00D30EAF"/>
    <w:rsid w:val="00D34759"/>
    <w:rsid w:val="00D41370"/>
    <w:rsid w:val="00D505FA"/>
    <w:rsid w:val="00D50A14"/>
    <w:rsid w:val="00D532E1"/>
    <w:rsid w:val="00D65F8D"/>
    <w:rsid w:val="00D71A37"/>
    <w:rsid w:val="00D7512F"/>
    <w:rsid w:val="00D816AA"/>
    <w:rsid w:val="00D83BDC"/>
    <w:rsid w:val="00D92EF6"/>
    <w:rsid w:val="00D96A6E"/>
    <w:rsid w:val="00DA58E4"/>
    <w:rsid w:val="00DB0E66"/>
    <w:rsid w:val="00DB425C"/>
    <w:rsid w:val="00DC2653"/>
    <w:rsid w:val="00DD0C00"/>
    <w:rsid w:val="00DD426E"/>
    <w:rsid w:val="00DD600D"/>
    <w:rsid w:val="00DE2FA0"/>
    <w:rsid w:val="00DE6465"/>
    <w:rsid w:val="00DF756F"/>
    <w:rsid w:val="00E05508"/>
    <w:rsid w:val="00E1428C"/>
    <w:rsid w:val="00E32B08"/>
    <w:rsid w:val="00E35707"/>
    <w:rsid w:val="00E60777"/>
    <w:rsid w:val="00E64C57"/>
    <w:rsid w:val="00E74F32"/>
    <w:rsid w:val="00E86621"/>
    <w:rsid w:val="00E9459D"/>
    <w:rsid w:val="00EB340B"/>
    <w:rsid w:val="00EB5C12"/>
    <w:rsid w:val="00EC4DA7"/>
    <w:rsid w:val="00EE0BE9"/>
    <w:rsid w:val="00EE2198"/>
    <w:rsid w:val="00EE3A0B"/>
    <w:rsid w:val="00EE5ADB"/>
    <w:rsid w:val="00EE5E14"/>
    <w:rsid w:val="00EF0F24"/>
    <w:rsid w:val="00F24DD9"/>
    <w:rsid w:val="00F2528C"/>
    <w:rsid w:val="00F348A6"/>
    <w:rsid w:val="00F4414C"/>
    <w:rsid w:val="00F473B3"/>
    <w:rsid w:val="00F63670"/>
    <w:rsid w:val="00F65276"/>
    <w:rsid w:val="00F721D0"/>
    <w:rsid w:val="00F742B5"/>
    <w:rsid w:val="00F82C93"/>
    <w:rsid w:val="00F86A10"/>
    <w:rsid w:val="00F9388E"/>
    <w:rsid w:val="00F94A0B"/>
    <w:rsid w:val="00FA335C"/>
    <w:rsid w:val="00FB157B"/>
    <w:rsid w:val="00FD0A4D"/>
    <w:rsid w:val="00FE1227"/>
    <w:rsid w:val="00FE4859"/>
    <w:rsid w:val="00FE4936"/>
    <w:rsid w:val="00FF3F0A"/>
    <w:rsid w:val="00FF7076"/>
    <w:rsid w:val="01061561"/>
    <w:rsid w:val="02F30FA1"/>
    <w:rsid w:val="059D30D8"/>
    <w:rsid w:val="06F91383"/>
    <w:rsid w:val="07CD3734"/>
    <w:rsid w:val="089252C3"/>
    <w:rsid w:val="09935FC5"/>
    <w:rsid w:val="0A38116A"/>
    <w:rsid w:val="0E6A5A27"/>
    <w:rsid w:val="0EEC551E"/>
    <w:rsid w:val="1223027A"/>
    <w:rsid w:val="13F81450"/>
    <w:rsid w:val="14F95E6F"/>
    <w:rsid w:val="16277A0B"/>
    <w:rsid w:val="16852D6C"/>
    <w:rsid w:val="17B24919"/>
    <w:rsid w:val="18AF29F3"/>
    <w:rsid w:val="1A9E1C60"/>
    <w:rsid w:val="20EE6FC1"/>
    <w:rsid w:val="211B7198"/>
    <w:rsid w:val="22027AEB"/>
    <w:rsid w:val="23A42D0F"/>
    <w:rsid w:val="24462A2D"/>
    <w:rsid w:val="2566170E"/>
    <w:rsid w:val="26B36D0C"/>
    <w:rsid w:val="28434D01"/>
    <w:rsid w:val="29203B1D"/>
    <w:rsid w:val="2A4E3D69"/>
    <w:rsid w:val="2BE94B90"/>
    <w:rsid w:val="2C102611"/>
    <w:rsid w:val="2DD04A02"/>
    <w:rsid w:val="2FC15424"/>
    <w:rsid w:val="300552FE"/>
    <w:rsid w:val="3039366E"/>
    <w:rsid w:val="32781DED"/>
    <w:rsid w:val="33926664"/>
    <w:rsid w:val="34485A04"/>
    <w:rsid w:val="358D0CA1"/>
    <w:rsid w:val="35A737C0"/>
    <w:rsid w:val="38AD09D9"/>
    <w:rsid w:val="3A990BD3"/>
    <w:rsid w:val="3BB367AF"/>
    <w:rsid w:val="3C7F4EBC"/>
    <w:rsid w:val="3D6D2565"/>
    <w:rsid w:val="3DEE558A"/>
    <w:rsid w:val="3F676452"/>
    <w:rsid w:val="40E26775"/>
    <w:rsid w:val="40FE4376"/>
    <w:rsid w:val="441962C2"/>
    <w:rsid w:val="4831390F"/>
    <w:rsid w:val="487E1EBD"/>
    <w:rsid w:val="49445246"/>
    <w:rsid w:val="4AFA3073"/>
    <w:rsid w:val="4B781250"/>
    <w:rsid w:val="4EE942B4"/>
    <w:rsid w:val="534208BB"/>
    <w:rsid w:val="54937AEB"/>
    <w:rsid w:val="56E07709"/>
    <w:rsid w:val="57FD3B20"/>
    <w:rsid w:val="5A170196"/>
    <w:rsid w:val="5C9A3FBC"/>
    <w:rsid w:val="5CC70097"/>
    <w:rsid w:val="5CE337FB"/>
    <w:rsid w:val="5E1155B4"/>
    <w:rsid w:val="5E656207"/>
    <w:rsid w:val="5EFD41C0"/>
    <w:rsid w:val="5F0B0899"/>
    <w:rsid w:val="5F1662FE"/>
    <w:rsid w:val="60464B44"/>
    <w:rsid w:val="626B07E7"/>
    <w:rsid w:val="62FD1A18"/>
    <w:rsid w:val="66AB22D9"/>
    <w:rsid w:val="66D41533"/>
    <w:rsid w:val="68226616"/>
    <w:rsid w:val="69005E96"/>
    <w:rsid w:val="6AA53B5C"/>
    <w:rsid w:val="6AA97052"/>
    <w:rsid w:val="6CE81713"/>
    <w:rsid w:val="6D7B76B4"/>
    <w:rsid w:val="6D7D6F0F"/>
    <w:rsid w:val="6DB932C1"/>
    <w:rsid w:val="6E3A43BC"/>
    <w:rsid w:val="6EF341A6"/>
    <w:rsid w:val="6F85793B"/>
    <w:rsid w:val="72E873D0"/>
    <w:rsid w:val="74BE78AF"/>
    <w:rsid w:val="74DD1DA7"/>
    <w:rsid w:val="75FD0FB7"/>
    <w:rsid w:val="78A32008"/>
    <w:rsid w:val="7A3C48AD"/>
    <w:rsid w:val="7B49344F"/>
    <w:rsid w:val="7B4A6DD9"/>
    <w:rsid w:val="7B903071"/>
    <w:rsid w:val="7BCF4E5E"/>
    <w:rsid w:val="7CCD66FE"/>
    <w:rsid w:val="7D550502"/>
    <w:rsid w:val="7E1F194A"/>
    <w:rsid w:val="7E722330"/>
    <w:rsid w:val="7EF37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qFormat="1" w:unhideWhenUsed="0" w:uiPriority="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4"/>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28"/>
    <w:qFormat/>
    <w:uiPriority w:val="0"/>
    <w:pPr>
      <w:keepNext/>
      <w:keepLines/>
      <w:spacing w:before="260" w:after="260" w:line="416" w:lineRule="auto"/>
      <w:outlineLvl w:val="2"/>
    </w:pPr>
    <w:rPr>
      <w:b/>
      <w:bCs/>
      <w:sz w:val="32"/>
      <w:szCs w:val="32"/>
    </w:rPr>
  </w:style>
  <w:style w:type="paragraph" w:styleId="6">
    <w:name w:val="heading 4"/>
    <w:basedOn w:val="1"/>
    <w:next w:val="1"/>
    <w:link w:val="26"/>
    <w:qFormat/>
    <w:uiPriority w:val="0"/>
    <w:pPr>
      <w:keepNext/>
      <w:jc w:val="center"/>
      <w:outlineLvl w:val="3"/>
    </w:pPr>
    <w:rPr>
      <w:rFonts w:eastAsia="新宋体"/>
      <w:sz w:val="30"/>
      <w:szCs w:val="21"/>
    </w:rPr>
  </w:style>
  <w:style w:type="character" w:default="1" w:styleId="18">
    <w:name w:val="Default Paragraph Font"/>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400" w:lineRule="exact"/>
    </w:pPr>
    <w:rPr>
      <w:rFonts w:ascii="楷体_GB2312"/>
      <w:sz w:val="28"/>
    </w:rPr>
  </w:style>
  <w:style w:type="paragraph" w:styleId="7">
    <w:name w:val="Normal Indent"/>
    <w:basedOn w:val="1"/>
    <w:link w:val="33"/>
    <w:qFormat/>
    <w:uiPriority w:val="0"/>
    <w:pPr>
      <w:ind w:firstLine="420"/>
    </w:pPr>
    <w:rPr>
      <w:szCs w:val="20"/>
    </w:rPr>
  </w:style>
  <w:style w:type="paragraph" w:styleId="8">
    <w:name w:val="Document Map"/>
    <w:basedOn w:val="1"/>
    <w:link w:val="25"/>
    <w:semiHidden/>
    <w:qFormat/>
    <w:uiPriority w:val="0"/>
    <w:pPr>
      <w:shd w:val="clear" w:color="auto" w:fill="000080"/>
    </w:pPr>
  </w:style>
  <w:style w:type="paragraph" w:styleId="9">
    <w:name w:val="Body Text Indent"/>
    <w:basedOn w:val="1"/>
    <w:link w:val="23"/>
    <w:qFormat/>
    <w:uiPriority w:val="0"/>
    <w:pPr>
      <w:spacing w:after="120"/>
      <w:ind w:left="420" w:leftChars="200"/>
    </w:pPr>
  </w:style>
  <w:style w:type="paragraph" w:styleId="10">
    <w:name w:val="Date"/>
    <w:basedOn w:val="1"/>
    <w:next w:val="1"/>
    <w:link w:val="32"/>
    <w:qFormat/>
    <w:uiPriority w:val="0"/>
    <w:pPr>
      <w:ind w:left="100" w:leftChars="2500"/>
    </w:pPr>
  </w:style>
  <w:style w:type="paragraph" w:styleId="11">
    <w:name w:val="Balloon Text"/>
    <w:basedOn w:val="1"/>
    <w:link w:val="22"/>
    <w:semiHidden/>
    <w:qFormat/>
    <w:uiPriority w:val="0"/>
    <w:rPr>
      <w:sz w:val="18"/>
      <w:szCs w:val="18"/>
    </w:rPr>
  </w:style>
  <w:style w:type="paragraph" w:styleId="12">
    <w:name w:val="footer"/>
    <w:basedOn w:val="1"/>
    <w:link w:val="21"/>
    <w:qFormat/>
    <w:uiPriority w:val="99"/>
    <w:pPr>
      <w:tabs>
        <w:tab w:val="center" w:pos="4153"/>
        <w:tab w:val="right" w:pos="8306"/>
      </w:tabs>
      <w:snapToGrid w:val="0"/>
      <w:jc w:val="left"/>
    </w:pPr>
    <w:rPr>
      <w:sz w:val="18"/>
      <w:szCs w:val="18"/>
    </w:rPr>
  </w:style>
  <w:style w:type="paragraph" w:styleId="13">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4">
    <w:name w:val="Body Text Indent 3"/>
    <w:basedOn w:val="1"/>
    <w:link w:val="29"/>
    <w:qFormat/>
    <w:uiPriority w:val="0"/>
    <w:pPr>
      <w:spacing w:line="520" w:lineRule="exact"/>
      <w:ind w:firstLine="539" w:firstLineChars="184"/>
    </w:pPr>
    <w:rPr>
      <w:rFonts w:ascii="宋体"/>
      <w:b/>
      <w:spacing w:val="6"/>
      <w:sz w:val="28"/>
    </w:rPr>
  </w:style>
  <w:style w:type="paragraph" w:styleId="1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qFormat/>
    <w:uiPriority w:val="22"/>
    <w:rPr>
      <w:b/>
      <w:bCs/>
    </w:rPr>
  </w:style>
  <w:style w:type="character" w:styleId="20">
    <w:name w:val="page number"/>
    <w:basedOn w:val="18"/>
    <w:qFormat/>
    <w:uiPriority w:val="0"/>
  </w:style>
  <w:style w:type="character" w:customStyle="1" w:styleId="21">
    <w:name w:val="页脚 Char"/>
    <w:link w:val="12"/>
    <w:qFormat/>
    <w:uiPriority w:val="99"/>
    <w:rPr>
      <w:kern w:val="2"/>
      <w:sz w:val="18"/>
      <w:szCs w:val="18"/>
    </w:rPr>
  </w:style>
  <w:style w:type="character" w:customStyle="1" w:styleId="22">
    <w:name w:val="批注框文本 Char"/>
    <w:link w:val="11"/>
    <w:semiHidden/>
    <w:qFormat/>
    <w:uiPriority w:val="0"/>
    <w:rPr>
      <w:kern w:val="2"/>
      <w:sz w:val="18"/>
      <w:szCs w:val="18"/>
    </w:rPr>
  </w:style>
  <w:style w:type="character" w:customStyle="1" w:styleId="23">
    <w:name w:val="正文文本缩进 Char"/>
    <w:link w:val="9"/>
    <w:qFormat/>
    <w:uiPriority w:val="0"/>
    <w:rPr>
      <w:kern w:val="2"/>
      <w:sz w:val="21"/>
      <w:szCs w:val="24"/>
    </w:rPr>
  </w:style>
  <w:style w:type="character" w:customStyle="1" w:styleId="24">
    <w:name w:val="标题 1 Char"/>
    <w:link w:val="3"/>
    <w:qFormat/>
    <w:uiPriority w:val="0"/>
    <w:rPr>
      <w:b/>
      <w:bCs/>
      <w:kern w:val="44"/>
      <w:sz w:val="44"/>
      <w:szCs w:val="44"/>
    </w:rPr>
  </w:style>
  <w:style w:type="character" w:customStyle="1" w:styleId="25">
    <w:name w:val="文档结构图 Char"/>
    <w:link w:val="8"/>
    <w:semiHidden/>
    <w:qFormat/>
    <w:uiPriority w:val="0"/>
    <w:rPr>
      <w:kern w:val="2"/>
      <w:sz w:val="21"/>
      <w:szCs w:val="24"/>
      <w:shd w:val="clear" w:color="auto" w:fill="000080"/>
    </w:rPr>
  </w:style>
  <w:style w:type="character" w:customStyle="1" w:styleId="26">
    <w:name w:val="标题 4 Char"/>
    <w:link w:val="6"/>
    <w:qFormat/>
    <w:uiPriority w:val="0"/>
    <w:rPr>
      <w:rFonts w:eastAsia="新宋体"/>
      <w:kern w:val="2"/>
      <w:sz w:val="30"/>
      <w:szCs w:val="21"/>
    </w:rPr>
  </w:style>
  <w:style w:type="character" w:customStyle="1" w:styleId="27">
    <w:name w:val="页眉 Char"/>
    <w:link w:val="13"/>
    <w:qFormat/>
    <w:uiPriority w:val="0"/>
    <w:rPr>
      <w:kern w:val="2"/>
      <w:sz w:val="18"/>
      <w:szCs w:val="18"/>
    </w:rPr>
  </w:style>
  <w:style w:type="character" w:customStyle="1" w:styleId="28">
    <w:name w:val="标题 3 Char"/>
    <w:link w:val="5"/>
    <w:qFormat/>
    <w:uiPriority w:val="0"/>
    <w:rPr>
      <w:b/>
      <w:bCs/>
      <w:kern w:val="2"/>
      <w:sz w:val="32"/>
      <w:szCs w:val="32"/>
    </w:rPr>
  </w:style>
  <w:style w:type="character" w:customStyle="1" w:styleId="29">
    <w:name w:val="正文文本缩进 3 Char"/>
    <w:link w:val="14"/>
    <w:qFormat/>
    <w:uiPriority w:val="0"/>
    <w:rPr>
      <w:rFonts w:ascii="宋体"/>
      <w:b/>
      <w:spacing w:val="6"/>
      <w:kern w:val="2"/>
      <w:sz w:val="28"/>
      <w:szCs w:val="24"/>
    </w:rPr>
  </w:style>
  <w:style w:type="character" w:customStyle="1" w:styleId="30">
    <w:name w:val="标题 3.1 Char"/>
    <w:link w:val="31"/>
    <w:qFormat/>
    <w:locked/>
    <w:uiPriority w:val="0"/>
    <w:rPr>
      <w:rFonts w:ascii="宋体" w:hAnsi="宋体"/>
      <w:b/>
      <w:bCs/>
      <w:color w:val="000000"/>
      <w:kern w:val="2"/>
      <w:sz w:val="32"/>
      <w:szCs w:val="32"/>
    </w:rPr>
  </w:style>
  <w:style w:type="paragraph" w:customStyle="1" w:styleId="31">
    <w:name w:val="标题 3.1"/>
    <w:basedOn w:val="5"/>
    <w:link w:val="30"/>
    <w:qFormat/>
    <w:uiPriority w:val="0"/>
    <w:pPr>
      <w:tabs>
        <w:tab w:val="left" w:pos="1440"/>
        <w:tab w:val="left" w:pos="1620"/>
      </w:tabs>
      <w:spacing w:line="600" w:lineRule="exact"/>
    </w:pPr>
    <w:rPr>
      <w:rFonts w:ascii="宋体" w:hAnsi="宋体"/>
      <w:color w:val="000000"/>
    </w:rPr>
  </w:style>
  <w:style w:type="character" w:customStyle="1" w:styleId="32">
    <w:name w:val="日期 Char"/>
    <w:link w:val="10"/>
    <w:qFormat/>
    <w:uiPriority w:val="0"/>
    <w:rPr>
      <w:kern w:val="2"/>
      <w:sz w:val="21"/>
      <w:szCs w:val="24"/>
    </w:rPr>
  </w:style>
  <w:style w:type="character" w:customStyle="1" w:styleId="33">
    <w:name w:val="正文缩进 Char"/>
    <w:link w:val="7"/>
    <w:qFormat/>
    <w:uiPriority w:val="0"/>
    <w:rPr>
      <w:kern w:val="2"/>
      <w:sz w:val="21"/>
    </w:rPr>
  </w:style>
  <w:style w:type="character" w:customStyle="1" w:styleId="34">
    <w:name w:val="标题 2 Char"/>
    <w:link w:val="4"/>
    <w:qFormat/>
    <w:uiPriority w:val="0"/>
    <w:rPr>
      <w:rFonts w:ascii="Arial" w:hAnsi="Arial" w:eastAsia="黑体"/>
      <w:b/>
      <w:bCs/>
      <w:kern w:val="2"/>
      <w:sz w:val="32"/>
      <w:szCs w:val="32"/>
    </w:rPr>
  </w:style>
  <w:style w:type="character" w:customStyle="1" w:styleId="35">
    <w:name w:val="正文缩进2格 Char"/>
    <w:link w:val="36"/>
    <w:qFormat/>
    <w:locked/>
    <w:uiPriority w:val="0"/>
    <w:rPr>
      <w:rFonts w:ascii="仿宋_GB2312" w:hAnsi="宋体" w:eastAsia="仿宋_GB2312"/>
      <w:kern w:val="2"/>
      <w:sz w:val="31"/>
      <w:szCs w:val="28"/>
    </w:rPr>
  </w:style>
  <w:style w:type="paragraph" w:customStyle="1" w:styleId="36">
    <w:name w:val="正文缩进2格"/>
    <w:basedOn w:val="1"/>
    <w:link w:val="35"/>
    <w:qFormat/>
    <w:uiPriority w:val="0"/>
    <w:pPr>
      <w:spacing w:line="600" w:lineRule="exact"/>
      <w:ind w:firstLine="639" w:firstLineChars="206"/>
    </w:pPr>
    <w:rPr>
      <w:rFonts w:ascii="仿宋_GB2312" w:hAnsi="宋体" w:eastAsia="仿宋_GB2312"/>
      <w:sz w:val="31"/>
      <w:szCs w:val="28"/>
    </w:rPr>
  </w:style>
  <w:style w:type="paragraph" w:customStyle="1" w:styleId="37">
    <w:name w:val="无间隔1"/>
    <w:qFormat/>
    <w:uiPriority w:val="99"/>
    <w:pPr>
      <w:widowControl w:val="0"/>
      <w:spacing w:line="300" w:lineRule="auto"/>
    </w:pPr>
    <w:rPr>
      <w:rFonts w:ascii="Times New Roman" w:hAnsi="Times New Roman" w:eastAsia="华文仿宋" w:cs="Times New Roman"/>
      <w:kern w:val="2"/>
      <w:sz w:val="24"/>
      <w:szCs w:val="21"/>
      <w:lang w:val="en-US" w:eastAsia="zh-CN" w:bidi="ar-SA"/>
    </w:rPr>
  </w:style>
  <w:style w:type="paragraph" w:customStyle="1" w:styleId="38">
    <w:name w:val="Char1"/>
    <w:basedOn w:val="1"/>
    <w:qFormat/>
    <w:uiPriority w:val="0"/>
    <w:pPr>
      <w:tabs>
        <w:tab w:val="left" w:pos="840"/>
      </w:tabs>
      <w:ind w:left="840" w:hanging="420"/>
    </w:pPr>
    <w:rPr>
      <w:sz w:val="24"/>
    </w:rPr>
  </w:style>
  <w:style w:type="paragraph" w:customStyle="1" w:styleId="39">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styleId="40">
    <w:name w:val="List Paragraph"/>
    <w:basedOn w:val="1"/>
    <w:qFormat/>
    <w:uiPriority w:val="0"/>
    <w:pPr>
      <w:ind w:firstLine="420" w:firstLineChars="200"/>
    </w:pPr>
  </w:style>
  <w:style w:type="paragraph" w:customStyle="1" w:styleId="41">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42">
    <w:name w:val="Char Char 字元 字元 字元 Char Char Char Char"/>
    <w:basedOn w:val="1"/>
    <w:qFormat/>
    <w:uiPriority w:val="0"/>
    <w:pPr>
      <w:adjustRightInd w:val="0"/>
      <w:spacing w:line="360" w:lineRule="auto"/>
    </w:pPr>
    <w:rPr>
      <w:kern w:val="0"/>
      <w:sz w:val="24"/>
      <w:szCs w:val="20"/>
    </w:rPr>
  </w:style>
  <w:style w:type="paragraph" w:customStyle="1" w:styleId="43">
    <w:name w:val="正文缩进4格"/>
    <w:basedOn w:val="36"/>
    <w:qFormat/>
    <w:uiPriority w:val="0"/>
    <w:pPr>
      <w:ind w:left="2" w:firstLine="538" w:firstLineChars="192"/>
    </w:pPr>
    <w:rPr>
      <w:color w:val="000000"/>
      <w:sz w:val="28"/>
    </w:rPr>
  </w:style>
  <w:style w:type="paragraph" w:customStyle="1" w:styleId="44">
    <w:name w:val="Char"/>
    <w:basedOn w:val="1"/>
    <w:qFormat/>
    <w:uiPriority w:val="0"/>
    <w:rPr>
      <w:rFonts w:ascii="Tahoma" w:hAnsi="Tahoma"/>
      <w:sz w:val="24"/>
      <w:szCs w:val="20"/>
    </w:rPr>
  </w:style>
  <w:style w:type="paragraph" w:customStyle="1" w:styleId="45">
    <w:name w:val="Char Char Char Char"/>
    <w:basedOn w:val="1"/>
    <w:qFormat/>
    <w:uiPriority w:val="0"/>
    <w:rPr>
      <w:rFonts w:ascii="Tahoma" w:hAnsi="Tahoma"/>
      <w:sz w:val="24"/>
      <w:szCs w:val="20"/>
    </w:rPr>
  </w:style>
  <w:style w:type="paragraph" w:customStyle="1" w:styleId="46">
    <w:name w:val="para"/>
    <w:basedOn w:val="1"/>
    <w:qFormat/>
    <w:uiPriority w:val="0"/>
    <w:pPr>
      <w:widowControl/>
      <w:spacing w:before="100" w:beforeAutospacing="1" w:after="100" w:afterAutospacing="1"/>
      <w:jc w:val="left"/>
    </w:pPr>
    <w:rPr>
      <w:rFonts w:ascii="Arial" w:hAnsi="Arial" w:cs="Arial"/>
      <w:kern w:val="0"/>
      <w:sz w:val="18"/>
      <w:szCs w:val="18"/>
    </w:rPr>
  </w:style>
  <w:style w:type="paragraph" w:customStyle="1" w:styleId="47">
    <w:name w:val="msonormalcxsplast"/>
    <w:basedOn w:val="1"/>
    <w:qFormat/>
    <w:uiPriority w:val="0"/>
    <w:pPr>
      <w:widowControl/>
      <w:spacing w:before="100" w:beforeAutospacing="1" w:after="100" w:afterAutospacing="1"/>
      <w:jc w:val="left"/>
    </w:pPr>
    <w:rPr>
      <w:rFonts w:ascii="宋体" w:hAnsi="宋体" w:cs="宋体"/>
      <w:kern w:val="0"/>
      <w:sz w:val="24"/>
    </w:rPr>
  </w:style>
  <w:style w:type="paragraph" w:customStyle="1" w:styleId="48">
    <w:name w:val="Char2"/>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1678</Words>
  <Characters>9571</Characters>
  <Lines>79</Lines>
  <Paragraphs>22</Paragraphs>
  <TotalTime>0</TotalTime>
  <ScaleCrop>false</ScaleCrop>
  <LinksUpToDate>false</LinksUpToDate>
  <CharactersWithSpaces>11227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2020-02-26T07:35:00Z</dcterms:created>
  <dc:creator>User</dc:creator>
  <cp:lastModifiedBy>Administrator</cp:lastModifiedBy>
  <cp:lastPrinted>2017-10-20T02:41:00Z</cp:lastPrinted>
  <dcterms:modified xsi:type="dcterms:W3CDTF">2020-02-27T11:32:11Z</dcterms:modified>
  <dc:title>南通市环境监测中心站火焰原子吸收光谱仪项目</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